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Morning Real Estate News Digest</w:t>
      </w:r>
    </w:p>
    <w:p>
      <w:pPr>
        <w:spacing w:after="60"/>
        <w:jc w:val="center"/>
      </w:pPr>
      <w:r>
        <w:rPr>
          <w:color w:val="555555"/>
          <w:sz w:val="24"/>
          <w:szCs w:val="24"/>
        </w:rPr>
        <w:t xml:space="preserve">India &amp; Bengaluru Real Estate — Daily Roundup</w:t>
      </w:r>
    </w:p>
    <w:p>
      <w:pPr>
        <w:pBdr>
          <w:bottom w:val="single" w:color="CCCCCC" w:sz="6" w:space="8"/>
        </w:pBdr>
        <w:spacing w:after="200"/>
        <w:jc w:val="center"/>
      </w:pPr>
      <w:r>
        <w:rPr>
          <w:color w:val="888888"/>
          <w:sz w:val="22"/>
          <w:szCs w:val="22"/>
        </w:rPr>
        <w:t xml:space="preserve">Friday, 4 September 2026</w:t>
      </w:r>
    </w:p>
    <w:p>
      <w:pPr>
        <w:pStyle w:val="Heading1"/>
        <w:spacing w:after="150" w:before="300"/>
      </w:pPr>
      <w:r>
        <w:t xml:space="preserve">ET Realty</w:t>
      </w:r>
    </w:p>
    <w:p>
      <w:pPr>
        <w:pStyle w:val="ListParagraph"/>
        <w:numPr>
          <w:ilvl w:val="0"/>
          <w:numId w:val="2"/>
        </w:numPr>
        <w:spacing w:after="100"/>
      </w:pPr>
      <w:r>
        <w:t xml:space="preserve">No new developments reported today; standing coverage continues to note Century Real Estate's ₹3,000 crore East Bengaluru project and ₹1,062 crore Q2 sales bookings, and Piramal Enterprises' investment in Puravankara Group.</w:t>
      </w:r>
    </w:p>
    <w:p>
      <w:pPr>
        <w:spacing w:after="300"/>
      </w:pPr>
      <w:r>
        <w:rPr>
          <w:i/>
          <w:iCs/>
          <w:color w:val="666666"/>
          <w:sz w:val="18"/>
          <w:szCs w:val="18"/>
        </w:rPr>
        <w:t xml:space="preserve">Source: </w:t>
      </w:r>
      <w:hyperlink w:history="1" r:id="rIdhph_tds42x0xklkmibae8">
        <w:r>
          <w:rPr>
            <w:rStyle w:val="Hyperlink"/>
            <w:sz w:val="18"/>
            <w:szCs w:val="18"/>
          </w:rPr>
          <w:t xml:space="preserve">https://realty.economictimes.indiatimes.com/</w:t>
        </w:r>
      </w:hyperlink>
    </w:p>
    <w:p>
      <w:pPr>
        <w:pStyle w:val="Heading1"/>
        <w:spacing w:after="150" w:before="300"/>
      </w:pPr>
      <w:r>
        <w:t xml:space="preserve">Cushman &amp; Wakefield — MarketBeat</w:t>
      </w:r>
    </w:p>
    <w:p>
      <w:pPr>
        <w:pStyle w:val="ListParagraph"/>
        <w:numPr>
          <w:ilvl w:val="0"/>
          <w:numId w:val="2"/>
        </w:numPr>
        <w:spacing w:after="100"/>
      </w:pPr>
      <w:r>
        <w:t xml:space="preserve">No new release surfaced today; standing figures remain India's record flex-space H1 (191,000+ seats leased), the record 36.2 MSF logistics &amp; industrial leasing in H1 2026 (+18% YoY), and Delhi NCR, Chennai, and Bengaluru's status as top investment destinations.</w:t>
      </w:r>
    </w:p>
    <w:p>
      <w:pPr>
        <w:spacing w:after="300"/>
      </w:pPr>
      <w:r>
        <w:rPr>
          <w:i/>
          <w:iCs/>
          <w:color w:val="666666"/>
          <w:sz w:val="18"/>
          <w:szCs w:val="18"/>
        </w:rPr>
        <w:t xml:space="preserve">Source: </w:t>
      </w:r>
      <w:hyperlink w:history="1" r:id="rIdlts32j3opnshl4aekq53z">
        <w:r>
          <w:rPr>
            <w:rStyle w:val="Hyperlink"/>
            <w:sz w:val="18"/>
            <w:szCs w:val="18"/>
          </w:rPr>
          <w:t xml:space="preserve">https://www.cushmanwakefield.com/en/india/insights</w:t>
        </w:r>
      </w:hyperlink>
    </w:p>
    <w:p>
      <w:pPr>
        <w:pStyle w:val="Heading1"/>
        <w:spacing w:after="150" w:before="300"/>
      </w:pPr>
      <w:r>
        <w:t xml:space="preserve">CREDAI</w:t>
      </w:r>
    </w:p>
    <w:p>
      <w:pPr>
        <w:pStyle w:val="ListParagraph"/>
        <w:numPr>
          <w:ilvl w:val="0"/>
          <w:numId w:val="2"/>
        </w:numPr>
        <w:spacing w:after="100"/>
      </w:pPr>
      <w:r>
        <w:t xml:space="preserve">No new developments reported today; Bengaluru's ~₹12,100/sq ft average asking price, 15% YoY sales growth, and the luxury segment's near-63% market share remain the standing storylines, alongside the city's 15% share of national residential sales (2024).</w:t>
      </w:r>
    </w:p>
    <w:p>
      <w:pPr>
        <w:spacing w:after="300"/>
      </w:pPr>
      <w:r>
        <w:rPr>
          <w:i/>
          <w:iCs/>
          <w:color w:val="666666"/>
          <w:sz w:val="18"/>
          <w:szCs w:val="18"/>
        </w:rPr>
        <w:t xml:space="preserve">Source: </w:t>
      </w:r>
      <w:hyperlink w:history="1" r:id="rIdwvejrrwouc1zwsigem1ky">
        <w:r>
          <w:rPr>
            <w:rStyle w:val="Hyperlink"/>
            <w:sz w:val="18"/>
            <w:szCs w:val="18"/>
          </w:rPr>
          <w:t xml:space="preserve">https://credai.org/home/</w:t>
        </w:r>
      </w:hyperlink>
    </w:p>
    <w:p>
      <w:pPr>
        <w:pStyle w:val="Heading1"/>
        <w:spacing w:after="150" w:before="300"/>
      </w:pPr>
      <w:r>
        <w:t xml:space="preserve">RERA</w:t>
      </w:r>
    </w:p>
    <w:p>
      <w:pPr>
        <w:pStyle w:val="ListParagraph"/>
        <w:numPr>
          <w:ilvl w:val="0"/>
          <w:numId w:val="2"/>
        </w:numPr>
        <w:spacing w:after="100"/>
      </w:pPr>
      <w:r>
        <w:t xml:space="preserve">More detail has emerged on K-RERA's builder-penalty push: the original deadline for FY2024–25 annual audit report submission was 30 September (with FY2024–25 having ended 31 March 2025), before being extended repeatedly to 12 September, 15 November, and 12 December for continued non-compliance.</w:t>
      </w:r>
    </w:p>
    <w:p>
      <w:pPr>
        <w:spacing w:after="300"/>
      </w:pPr>
      <w:r>
        <w:rPr>
          <w:i/>
          <w:iCs/>
          <w:color w:val="666666"/>
          <w:sz w:val="18"/>
          <w:szCs w:val="18"/>
        </w:rPr>
        <w:t xml:space="preserve">Source: </w:t>
      </w:r>
      <w:hyperlink w:history="1" r:id="rIdsg9ysvfbwluktun_lpgqn">
        <w:r>
          <w:rPr>
            <w:rStyle w:val="Hyperlink"/>
            <w:sz w:val="18"/>
            <w:szCs w:val="18"/>
          </w:rPr>
          <w:t xml:space="preserve">https://rera.karnataka.gov.in/home?language=en/</w:t>
        </w:r>
      </w:hyperlink>
    </w:p>
    <w:p>
      <w:pPr>
        <w:pStyle w:val="Heading1"/>
        <w:spacing w:after="150" w:before="300"/>
      </w:pPr>
      <w:r>
        <w:t xml:space="preserve">IBEF</w:t>
      </w:r>
    </w:p>
    <w:p>
      <w:pPr>
        <w:pStyle w:val="ListParagraph"/>
        <w:numPr>
          <w:ilvl w:val="0"/>
          <w:numId w:val="2"/>
        </w:numPr>
        <w:spacing w:after="100"/>
      </w:pPr>
      <w:r>
        <w:t xml:space="preserve">India's real estate sector is projected to expand to US$5.8 trillion by 2047, lifting its GDP contribution from 7.3% today to 15.5%, building on H1 2026's record institutional investment momentum.</w:t>
      </w:r>
    </w:p>
    <w:p>
      <w:pPr>
        <w:spacing w:after="300"/>
      </w:pPr>
      <w:r>
        <w:rPr>
          <w:i/>
          <w:iCs/>
          <w:color w:val="666666"/>
          <w:sz w:val="18"/>
          <w:szCs w:val="18"/>
        </w:rPr>
        <w:t xml:space="preserve">Source: </w:t>
      </w:r>
      <w:hyperlink w:history="1" r:id="rIdnhqnompyhvjwm_bea1tcy">
        <w:r>
          <w:rPr>
            <w:rStyle w:val="Hyperlink"/>
            <w:sz w:val="18"/>
            <w:szCs w:val="18"/>
          </w:rPr>
          <w:t xml:space="preserve">https://www.ibef.org/industry/real-estate-india</w:t>
        </w:r>
      </w:hyperlink>
    </w:p>
    <w:p>
      <w:pPr>
        <w:spacing w:before="300"/>
      </w:pPr>
      <w:r>
        <w:rPr>
          <w:i/>
          <w:iCs/>
          <w:color w:val="999999"/>
          <w:sz w:val="18"/>
          <w:szCs w:val="18"/>
        </w:rPr>
        <w:t xml:space="preserve">Compiled automatically each morning from ET Realty, Cushman &amp; Wakefield MarketBeat, CREDAI, RERA, and IBEF. Figures reflect the latest publicly available reporting at compile time and may lag same-day announcements.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ph_tds42x0xklkmibae8" Type="http://schemas.openxmlformats.org/officeDocument/2006/relationships/hyperlink" Target="https://realty.economictimes.indiatimes.com/" TargetMode="External"/><Relationship Id="rIdlts32j3opnshl4aekq53z" Type="http://schemas.openxmlformats.org/officeDocument/2006/relationships/hyperlink" Target="https://www.cushmanwakefield.com/en/india/insights" TargetMode="External"/><Relationship Id="rIdwvejrrwouc1zwsigem1ky" Type="http://schemas.openxmlformats.org/officeDocument/2006/relationships/hyperlink" Target="https://credai.org/home/" TargetMode="External"/><Relationship Id="rIdsg9ysvfbwluktun_lpgqn" Type="http://schemas.openxmlformats.org/officeDocument/2006/relationships/hyperlink" Target="https://rera.karnataka.gov.in/home?language=en/" TargetMode="External"/><Relationship Id="rIdnhqnompyhvjwm_bea1tcy" Type="http://schemas.openxmlformats.org/officeDocument/2006/relationships/hyperlink" Target="https://www.ibef.org/industry/real-estate-india"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2026-09-04T03:39:11.113Z</dcterms:created>
  <dcterms:modified xsi:type="dcterms:W3CDTF">2026-09-04T03:39:11.133Z</dcterms:modified>
</cp:coreProperties>
</file>

<file path=docProps/custom.xml><?xml version="1.0" encoding="utf-8"?>
<Properties xmlns="http://schemas.openxmlformats.org/officeDocument/2006/custom-properties" xmlns:vt="http://schemas.openxmlformats.org/officeDocument/2006/docPropsVTypes"/>
</file>