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Morning Real Estate News Digest</w:t>
      </w:r>
    </w:p>
    <w:p>
      <w:pPr>
        <w:spacing w:after="60"/>
        <w:jc w:val="center"/>
      </w:pPr>
      <w:r>
        <w:rPr>
          <w:color w:val="555555"/>
          <w:sz w:val="24"/>
          <w:szCs w:val="24"/>
        </w:rPr>
        <w:t xml:space="preserve">India &amp; Bengaluru Real Estate — Daily Roundup</w:t>
      </w:r>
    </w:p>
    <w:p>
      <w:pPr>
        <w:pBdr>
          <w:bottom w:val="single" w:color="CCCCCC" w:sz="6" w:space="8"/>
        </w:pBdr>
        <w:spacing w:after="200"/>
        <w:jc w:val="center"/>
      </w:pPr>
      <w:r>
        <w:rPr>
          <w:color w:val="888888"/>
          <w:sz w:val="22"/>
          <w:szCs w:val="22"/>
        </w:rPr>
        <w:t xml:space="preserve">Saturday, 18 July 2026</w:t>
      </w:r>
    </w:p>
    <w:p>
      <w:pPr>
        <w:pStyle w:val="Heading1"/>
        <w:spacing w:after="150" w:before="300"/>
      </w:pPr>
      <w:r>
        <w:t xml:space="preserve">ET Realty</w:t>
      </w:r>
    </w:p>
    <w:p>
      <w:pPr>
        <w:pStyle w:val="ListParagraph"/>
        <w:numPr>
          <w:ilvl w:val="0"/>
          <w:numId w:val="2"/>
        </w:numPr>
        <w:spacing w:after="100"/>
      </w:pPr>
      <w:r>
        <w:t xml:space="preserve">Piramal Enterprises has invested over ₹500 crore in a portfolio of projects of Bengaluru-based developer Puravankara Group.</w:t>
      </w:r>
    </w:p>
    <w:p>
      <w:pPr>
        <w:pStyle w:val="ListParagraph"/>
        <w:numPr>
          <w:ilvl w:val="0"/>
          <w:numId w:val="2"/>
        </w:numPr>
        <w:spacing w:after="100"/>
      </w:pPr>
      <w:r>
        <w:t xml:space="preserve">The proposed merger between Indiabulls Real Estate and Embassy Group continues to face prolonged delays, hampering decision-making and growth plans for the listed entity.</w:t>
      </w:r>
    </w:p>
    <w:p>
      <w:pPr>
        <w:pStyle w:val="ListParagraph"/>
        <w:numPr>
          <w:ilvl w:val="0"/>
          <w:numId w:val="2"/>
        </w:numPr>
        <w:spacing w:after="100"/>
      </w:pPr>
      <w:r>
        <w:t xml:space="preserve">Home-improvement platform Arrivae has raised ₹21 crore from CaratLane founder Mithun Sacheti in an equity round.</w:t>
      </w:r>
    </w:p>
    <w:p>
      <w:pPr>
        <w:spacing w:after="300"/>
      </w:pPr>
      <w:r>
        <w:rPr>
          <w:i/>
          <w:iCs/>
          <w:color w:val="666666"/>
          <w:sz w:val="18"/>
          <w:szCs w:val="18"/>
        </w:rPr>
        <w:t xml:space="preserve">Source: </w:t>
      </w:r>
      <w:hyperlink w:history="1" r:id="rIdrsdwan1wdd5_qkoo_hd5v">
        <w:r>
          <w:rPr>
            <w:rStyle w:val="Hyperlink"/>
            <w:sz w:val="18"/>
            <w:szCs w:val="18"/>
          </w:rPr>
          <w:t xml:space="preserve">https://realty.economictimes.indiatimes.com/</w:t>
        </w:r>
      </w:hyperlink>
    </w:p>
    <w:p>
      <w:pPr>
        <w:pStyle w:val="Heading1"/>
        <w:spacing w:after="150" w:before="300"/>
      </w:pPr>
      <w:r>
        <w:t xml:space="preserve">Cushman &amp; Wakefield — MarketBeat</w:t>
      </w:r>
    </w:p>
    <w:p>
      <w:pPr>
        <w:pStyle w:val="ListParagraph"/>
        <w:numPr>
          <w:ilvl w:val="0"/>
          <w:numId w:val="2"/>
        </w:numPr>
        <w:spacing w:after="100"/>
      </w:pPr>
      <w:r>
        <w:t xml:space="preserve">India's retail sector recorded 2.4 MSF of leasing in Q2 2026, up 17.6% YoY, driven by sustained demand and tight supply.</w:t>
      </w:r>
    </w:p>
    <w:p>
      <w:pPr>
        <w:pStyle w:val="ListParagraph"/>
        <w:numPr>
          <w:ilvl w:val="0"/>
          <w:numId w:val="2"/>
        </w:numPr>
        <w:spacing w:after="100"/>
      </w:pPr>
      <w:r>
        <w:t xml:space="preserve">Bengaluru retail leasing reached ~0.25 MSF in Q2 2026, up 19% QoQ and 42% YoY; main streets held a 68% share, led by Indiranagar, Brigade Road, Koramangala and Sarjapur Road. H1 2026 residential launches crossed 25,000 units — a record first half.</w:t>
      </w:r>
    </w:p>
    <w:p>
      <w:pPr>
        <w:pStyle w:val="ListParagraph"/>
        <w:numPr>
          <w:ilvl w:val="0"/>
          <w:numId w:val="2"/>
        </w:numPr>
        <w:spacing w:after="100"/>
      </w:pPr>
      <w:r>
        <w:t xml:space="preserve">Office vacancy across India's top 8 cities averaged 13.85% in Q1 2026, falling below the 14% threshold for the first time since the pandemic.</w:t>
      </w:r>
    </w:p>
    <w:p>
      <w:pPr>
        <w:pStyle w:val="ListParagraph"/>
        <w:numPr>
          <w:ilvl w:val="0"/>
          <w:numId w:val="2"/>
        </w:numPr>
        <w:spacing w:after="100"/>
      </w:pPr>
      <w:r>
        <w:t xml:space="preserve">Institutional real estate investment stood at US$1.6 billion in Q1 2026 (+26% YoY), with domestic investors contributing 76% of inflows.</w:t>
      </w:r>
    </w:p>
    <w:p>
      <w:pPr>
        <w:spacing w:after="300"/>
      </w:pPr>
      <w:r>
        <w:rPr>
          <w:i/>
          <w:iCs/>
          <w:color w:val="666666"/>
          <w:sz w:val="18"/>
          <w:szCs w:val="18"/>
        </w:rPr>
        <w:t xml:space="preserve">Source: </w:t>
      </w:r>
      <w:hyperlink w:history="1" r:id="rIdbwap97twjsv0mbyvhmewq">
        <w:r>
          <w:rPr>
            <w:rStyle w:val="Hyperlink"/>
            <w:sz w:val="18"/>
            <w:szCs w:val="18"/>
          </w:rPr>
          <w:t xml:space="preserve">https://www.cushmanwakefield.com/en/india/insights/marketbeat-india/bengaluru-marketbeat</w:t>
        </w:r>
      </w:hyperlink>
    </w:p>
    <w:p>
      <w:pPr>
        <w:pStyle w:val="Heading1"/>
        <w:spacing w:after="150" w:before="300"/>
      </w:pPr>
      <w:r>
        <w:t xml:space="preserve">CREDAI</w:t>
      </w:r>
    </w:p>
    <w:p>
      <w:pPr>
        <w:pStyle w:val="ListParagraph"/>
        <w:numPr>
          <w:ilvl w:val="0"/>
          <w:numId w:val="2"/>
        </w:numPr>
        <w:spacing w:after="100"/>
      </w:pPr>
      <w:r>
        <w:t xml:space="preserve">CREDAI Bengaluru has urged the Karnataka government to significantly raise the proposed Floor Area Ratio (FAR) under the draft Uniform Zonal Regulations, arguing current limits understate the city's infrastructure capacity and risk restricting housing supply.</w:t>
      </w:r>
    </w:p>
    <w:p>
      <w:pPr>
        <w:pStyle w:val="ListParagraph"/>
        <w:numPr>
          <w:ilvl w:val="0"/>
          <w:numId w:val="2"/>
        </w:numPr>
        <w:spacing w:after="100"/>
      </w:pPr>
      <w:r>
        <w:t xml:space="preserve">CREDAI is also pushing for a uniform FAR framework across Karnataka — not just Bengaluru — to encourage investment in emerging cities such as Mysuru, Mangaluru, Hubballi and Udupi.</w:t>
      </w:r>
    </w:p>
    <w:p>
      <w:pPr>
        <w:pStyle w:val="ListParagraph"/>
        <w:numPr>
          <w:ilvl w:val="0"/>
          <w:numId w:val="2"/>
        </w:numPr>
        <w:spacing w:after="100"/>
      </w:pPr>
      <w:r>
        <w:t xml:space="preserve">CREDAI Karnataka welcomed the draft Karnataka Apartment (Ownership and Management) Bill, 2026 (KAOMA), released 15 July, calling it a step toward stronger consumer confidence and a clearer path for redeveloping ageing housing stock.</w:t>
      </w:r>
    </w:p>
    <w:p>
      <w:pPr>
        <w:spacing w:after="300"/>
      </w:pPr>
      <w:r>
        <w:rPr>
          <w:i/>
          <w:iCs/>
          <w:color w:val="666666"/>
          <w:sz w:val="18"/>
          <w:szCs w:val="18"/>
        </w:rPr>
        <w:t xml:space="preserve">Source: </w:t>
      </w:r>
      <w:hyperlink w:history="1" r:id="rIdtvlwfz-rktxznwbcpv9ul">
        <w:r>
          <w:rPr>
            <w:rStyle w:val="Hyperlink"/>
            <w:sz w:val="18"/>
            <w:szCs w:val="18"/>
          </w:rPr>
          <w:t xml:space="preserve">https://credai.org/home/</w:t>
        </w:r>
      </w:hyperlink>
    </w:p>
    <w:p>
      <w:pPr>
        <w:pStyle w:val="Heading1"/>
        <w:spacing w:after="150" w:before="300"/>
      </w:pPr>
      <w:r>
        <w:t xml:space="preserve">RERA</w:t>
      </w:r>
    </w:p>
    <w:p>
      <w:pPr>
        <w:pStyle w:val="ListParagraph"/>
        <w:numPr>
          <w:ilvl w:val="0"/>
          <w:numId w:val="2"/>
        </w:numPr>
        <w:spacing w:after="100"/>
      </w:pPr>
      <w:r>
        <w:t xml:space="preserve">On 16 July, Karnataka RERA (K-RERA) ruled that builders' obligations do not end at handing over possession — it directed a Bengaluru developer to complete all promised amenities and transfer key assets to the residents' association within 90 days.</w:t>
      </w:r>
    </w:p>
    <w:p>
      <w:pPr>
        <w:pStyle w:val="ListParagraph"/>
        <w:numPr>
          <w:ilvl w:val="0"/>
          <w:numId w:val="2"/>
        </w:numPr>
        <w:spacing w:after="100"/>
      </w:pPr>
      <w:r>
        <w:t xml:space="preserve">The case involved undelivered Cauvery water supply, BESCOM meters, DG backup, and pending transfer of Khata, maintenance accounts and corpus funds to the owners' association, for a flat possessed back in 2017.</w:t>
      </w:r>
    </w:p>
    <w:p>
      <w:pPr>
        <w:pStyle w:val="ListParagraph"/>
        <w:numPr>
          <w:ilvl w:val="0"/>
          <w:numId w:val="2"/>
        </w:numPr>
        <w:spacing w:after="100"/>
      </w:pPr>
      <w:r>
        <w:t xml:space="preserve">K-RERA rejected the builder's argument that RERA didn't apply because the occupancy certificate predated the Act, holding that ongoing contractual obligations remain enforceable regardless.</w:t>
      </w:r>
    </w:p>
    <w:p>
      <w:pPr>
        <w:spacing w:after="300"/>
      </w:pPr>
      <w:r>
        <w:rPr>
          <w:i/>
          <w:iCs/>
          <w:color w:val="666666"/>
          <w:sz w:val="18"/>
          <w:szCs w:val="18"/>
        </w:rPr>
        <w:t xml:space="preserve">Source: </w:t>
      </w:r>
      <w:hyperlink w:history="1" r:id="rIdqjhg7cz3afd_dqb6h9ea8">
        <w:r>
          <w:rPr>
            <w:rStyle w:val="Hyperlink"/>
            <w:sz w:val="18"/>
            <w:szCs w:val="18"/>
          </w:rPr>
          <w:t xml:space="preserve">https://rera.karnataka.gov.in/home?language=en/</w:t>
        </w:r>
      </w:hyperlink>
    </w:p>
    <w:p>
      <w:pPr>
        <w:pStyle w:val="Heading1"/>
        <w:spacing w:after="150" w:before="300"/>
      </w:pPr>
      <w:r>
        <w:t xml:space="preserve">IBEF</w:t>
      </w:r>
    </w:p>
    <w:p>
      <w:pPr>
        <w:pStyle w:val="ListParagraph"/>
        <w:numPr>
          <w:ilvl w:val="0"/>
          <w:numId w:val="2"/>
        </w:numPr>
        <w:spacing w:after="100"/>
      </w:pPr>
      <w:r>
        <w:t xml:space="preserve">India's real estate sector attracted US$2.9 billion in Q2 CY2026, with Chennai and Bengaluru together driving 27% of inflows.</w:t>
      </w:r>
    </w:p>
    <w:p>
      <w:pPr>
        <w:pStyle w:val="ListParagraph"/>
        <w:numPr>
          <w:ilvl w:val="0"/>
          <w:numId w:val="2"/>
        </w:numPr>
        <w:spacing w:after="100"/>
      </w:pPr>
      <w:r>
        <w:t xml:space="preserve">New regulatory measures mandate centralized digital property registration, RERA compliance, and real-time project updates, aimed at boosting investor confidence.</w:t>
      </w:r>
    </w:p>
    <w:p>
      <w:pPr>
        <w:pStyle w:val="ListParagraph"/>
        <w:numPr>
          <w:ilvl w:val="0"/>
          <w:numId w:val="2"/>
        </w:numPr>
        <w:spacing w:after="100"/>
      </w:pPr>
      <w:r>
        <w:t xml:space="preserve">SEBI's reform effective January 2026 reclassified mutual fund investments in REITs as equity instruments, improving transparency and broadening investor participation.</w:t>
      </w:r>
    </w:p>
    <w:p>
      <w:pPr>
        <w:pStyle w:val="ListParagraph"/>
        <w:numPr>
          <w:ilvl w:val="0"/>
          <w:numId w:val="2"/>
        </w:numPr>
        <w:spacing w:after="100"/>
      </w:pPr>
      <w:r>
        <w:t xml:space="preserve">India's real estate sector is projected to expand to US$5.8 trillion by 2047, lifting its contribution to GDP from 7.3% today to 15.5%.</w:t>
      </w:r>
    </w:p>
    <w:p>
      <w:pPr>
        <w:spacing w:after="300"/>
      </w:pPr>
      <w:r>
        <w:rPr>
          <w:i/>
          <w:iCs/>
          <w:color w:val="666666"/>
          <w:sz w:val="18"/>
          <w:szCs w:val="18"/>
        </w:rPr>
        <w:t xml:space="preserve">Source: </w:t>
      </w:r>
      <w:hyperlink w:history="1" r:id="rIdstub0omokagxt_1hsis-t">
        <w:r>
          <w:rPr>
            <w:rStyle w:val="Hyperlink"/>
            <w:sz w:val="18"/>
            <w:szCs w:val="18"/>
          </w:rPr>
          <w:t xml:space="preserve">https://www.ibef.org/industry/real-estate-india</w:t>
        </w:r>
      </w:hyperlink>
    </w:p>
    <w:p>
      <w:pPr>
        <w:spacing w:before="300"/>
      </w:pPr>
      <w:r>
        <w:rPr>
          <w:i/>
          <w:iCs/>
          <w:color w:val="999999"/>
          <w:sz w:val="18"/>
          <w:szCs w:val="18"/>
        </w:rPr>
        <w:t xml:space="preserve">Compiled automatically each morning from ET Realty, Cushman &amp; Wakefield MarketBeat, CREDAI, RERA, and IBEF. Figures reflect the latest publicly available reporting at compile time and may lag same-day announcements.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sdwan1wdd5_qkoo_hd5v" Type="http://schemas.openxmlformats.org/officeDocument/2006/relationships/hyperlink" Target="https://realty.economictimes.indiatimes.com/" TargetMode="External"/><Relationship Id="rIdbwap97twjsv0mbyvhmewq" Type="http://schemas.openxmlformats.org/officeDocument/2006/relationships/hyperlink" Target="https://www.cushmanwakefield.com/en/india/insights/marketbeat-india/bengaluru-marketbeat" TargetMode="External"/><Relationship Id="rIdtvlwfz-rktxznwbcpv9ul" Type="http://schemas.openxmlformats.org/officeDocument/2006/relationships/hyperlink" Target="https://credai.org/home/" TargetMode="External"/><Relationship Id="rIdqjhg7cz3afd_dqb6h9ea8" Type="http://schemas.openxmlformats.org/officeDocument/2006/relationships/hyperlink" Target="https://rera.karnataka.gov.in/home?language=en/" TargetMode="External"/><Relationship Id="rIdstub0omokagxt_1hsis-t" Type="http://schemas.openxmlformats.org/officeDocument/2006/relationships/hyperlink" Target="https://www.ibef.org/industry/real-estate-indi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2026-07-18T03:36:22.037Z</dcterms:created>
  <dcterms:modified xsi:type="dcterms:W3CDTF">2026-07-18T03:36:22.052Z</dcterms:modified>
</cp:coreProperties>
</file>

<file path=docProps/custom.xml><?xml version="1.0" encoding="utf-8"?>
<Properties xmlns="http://schemas.openxmlformats.org/officeDocument/2006/custom-properties" xmlns:vt="http://schemas.openxmlformats.org/officeDocument/2006/docPropsVTypes"/>
</file>