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44"/>
          <w:szCs w:val="44"/>
        </w:rPr>
        <w:t xml:space="preserve">Morning Real Estate News Digest</w:t>
      </w:r>
    </w:p>
    <w:p>
      <w:pPr>
        <w:spacing w:after="60"/>
        <w:jc w:val="center"/>
      </w:pPr>
      <w:r>
        <w:rPr>
          <w:color w:val="555555"/>
          <w:sz w:val="24"/>
          <w:szCs w:val="24"/>
        </w:rPr>
        <w:t xml:space="preserve">India &amp; Bengaluru Real Estate — Daily Roundup</w:t>
      </w:r>
    </w:p>
    <w:p>
      <w:pPr>
        <w:pBdr>
          <w:bottom w:val="single" w:color="CCCCCC" w:sz="6" w:space="8"/>
        </w:pBdr>
        <w:spacing w:after="200"/>
        <w:jc w:val="center"/>
      </w:pPr>
      <w:r>
        <w:rPr>
          <w:color w:val="888888"/>
          <w:sz w:val="22"/>
          <w:szCs w:val="22"/>
        </w:rPr>
        <w:t xml:space="preserve">Tuesday, 4 August 2026</w:t>
      </w:r>
    </w:p>
    <w:p>
      <w:pPr>
        <w:pStyle w:val="Heading1"/>
        <w:spacing w:after="150" w:before="300"/>
      </w:pPr>
      <w:r>
        <w:t xml:space="preserve">ET Realty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developments reported today; standing coverage continues to note Piramal Enterprises' investment in Puravankara Group, Century Real Estate's planned ₹3,000 crore East Bengaluru project, and high absorption in the ₹1.5–2.5 crore ticket-size segment.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qx2swtjse2whezluiuvlt">
        <w:r>
          <w:rPr>
            <w:rStyle w:val="Hyperlink"/>
            <w:sz w:val="18"/>
            <w:szCs w:val="18"/>
          </w:rPr>
          <w:t xml:space="preserve">https://realty.economictimes.indiatimes.com/</w:t>
        </w:r>
      </w:hyperlink>
    </w:p>
    <w:p>
      <w:pPr>
        <w:pStyle w:val="Heading1"/>
        <w:spacing w:after="150" w:before="300"/>
      </w:pPr>
      <w:r>
        <w:t xml:space="preserve">Cushman &amp; Wakefield — MarketBeat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Domestic institutional capital has now surpassed foreign inflows for a third consecutive quarter in Indian real estate, continuing the sustained shift toward local investors first flagged in late July.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Q1 2026 institutional real estate investment of US$1.6 billion remains the strongest Q1 since 2021, with office vacancy across the top 8 cities at 13.85%.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vfr8r627qlxxmshsz7ybr">
        <w:r>
          <w:rPr>
            <w:rStyle w:val="Hyperlink"/>
            <w:sz w:val="18"/>
            <w:szCs w:val="18"/>
          </w:rPr>
          <w:t xml:space="preserve">https://www.cushmanwakefield.com/en/india/news</w:t>
        </w:r>
      </w:hyperlink>
    </w:p>
    <w:p>
      <w:pPr>
        <w:pStyle w:val="Heading1"/>
        <w:spacing w:after="150" w:before="300"/>
      </w:pPr>
      <w:r>
        <w:t xml:space="preserve">CREDAI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developments reported today; CREDAI Bengaluru's history as the 1982-founded KOAPA, its 11 city chapters and 590+ developer members under CREDAI Karnataka, and its ongoing FAR, e-khata, and stamp-duty advocacy remain the standing storylines.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vr0lfiycqkincx32baepb">
        <w:r>
          <w:rPr>
            <w:rStyle w:val="Hyperlink"/>
            <w:sz w:val="18"/>
            <w:szCs w:val="18"/>
          </w:rPr>
          <w:t xml:space="preserve">https://credai.org/home/</w:t>
        </w:r>
      </w:hyperlink>
    </w:p>
    <w:p>
      <w:pPr>
        <w:pStyle w:val="Heading1"/>
        <w:spacing w:after="150" w:before="300"/>
      </w:pPr>
      <w:r>
        <w:t xml:space="preserve">RERA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K-RERA's crackdown on unregistered projects and its system maintenance (expected to conclude by 5 August) remain the standing recent developments; no new rulings or notices surfaced today beyond what's already been reported.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dtss6tfraamn8ei4ysjgc">
        <w:r>
          <w:rPr>
            <w:rStyle w:val="Hyperlink"/>
            <w:sz w:val="18"/>
            <w:szCs w:val="18"/>
          </w:rPr>
          <w:t xml:space="preserve">https://rera.karnataka.gov.in/home?language=en/</w:t>
        </w:r>
      </w:hyperlink>
    </w:p>
    <w:p>
      <w:pPr>
        <w:pStyle w:val="Heading1"/>
        <w:spacing w:after="150" w:before="300"/>
      </w:pPr>
      <w:r>
        <w:t xml:space="preserve">IBEF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Private equity investment in India's real estate sector rose to ₹5.66 lakh crore (US$6.70 billion) in 2025, driven by strong demand for office assets and data centres.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India's real estate sector is projected to expand to US$5.8 trillion by 2047, lifting its GDP contribution from 7.3% today to 15.5%.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jngdp_u7yj9nudvs5k4dy">
        <w:r>
          <w:rPr>
            <w:rStyle w:val="Hyperlink"/>
            <w:sz w:val="18"/>
            <w:szCs w:val="18"/>
          </w:rPr>
          <w:t xml:space="preserve">https://www.ibef.org/industry/real-estate-india</w:t>
        </w:r>
      </w:hyperlink>
    </w:p>
    <w:p>
      <w:pPr>
        <w:spacing w:before="300"/>
      </w:pPr>
      <w:r>
        <w:rPr>
          <w:i/>
          <w:iCs/>
          <w:color w:val="999999"/>
          <w:sz w:val="18"/>
          <w:szCs w:val="18"/>
        </w:rPr>
        <w:t xml:space="preserve">Compiled automatically each morning from ET Realty, Cushman &amp; Wakefield MarketBeat, CREDAI, RERA, and IBEF. Figures reflect the latest publicly available reporting at compile time and may lag same-day announcements.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qx2swtjse2whezluiuvlt" Type="http://schemas.openxmlformats.org/officeDocument/2006/relationships/hyperlink" Target="https://realty.economictimes.indiatimes.com/" TargetMode="External"/><Relationship Id="rIdvfr8r627qlxxmshsz7ybr" Type="http://schemas.openxmlformats.org/officeDocument/2006/relationships/hyperlink" Target="https://www.cushmanwakefield.com/en/india/news" TargetMode="External"/><Relationship Id="rIdvr0lfiycqkincx32baepb" Type="http://schemas.openxmlformats.org/officeDocument/2006/relationships/hyperlink" Target="https://credai.org/home/" TargetMode="External"/><Relationship Id="rIddtss6tfraamn8ei4ysjgc" Type="http://schemas.openxmlformats.org/officeDocument/2006/relationships/hyperlink" Target="https://rera.karnataka.gov.in/home?language=en/" TargetMode="External"/><Relationship Id="rIdjngdp_u7yj9nudvs5k4dy" Type="http://schemas.openxmlformats.org/officeDocument/2006/relationships/hyperlink" Target="https://www.ibef.org/industry/real-estate-india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2026-08-04T03:39:43.163Z</dcterms:created>
  <dcterms:modified xsi:type="dcterms:W3CDTF">2026-08-04T03:39:43.179Z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