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Monday, 7 September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coverage continues to note Century Real Estate's ₹3,000 crore East Bengaluru project and ₹1,062 crore Q2 sales bookings, and Piramal Enterprises' investment in Puravankara Group.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orn84gifxdu1kunpxqm3l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release surfaced today; standing figures remain Q2 2026 office leasing of ~21.4 MSF, India's record flex-space H1 (191,000+ seats leased), and record 36.2 MSF logistics &amp; industrial leasing in H1 2026 (+18% YoY).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5thxzmuex-xgluzcjdwkl">
        <w:r>
          <w:rPr>
            <w:rStyle w:val="Hyperlink"/>
            <w:sz w:val="18"/>
            <w:szCs w:val="18"/>
          </w:rPr>
          <w:t xml:space="preserve">https://www.cushmanwakefield.com/en/india/insights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Bengaluru's ~₹12,100/sq ft average asking price, IT/biotech/startup-driven end-user demand, and CREDAI's standing e-khata and reform advocacy with the Karnataka government remain the open storylines.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hwp-2cjq4moza-i0im0kx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K-RERA rulings surfaced today; the authority's penalty enforcement against builders who missed FY2024–25 annual audit report deadlines remains the standing enforcement story.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4dsrbmrgdivi77qxnjvnc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India's institutional real estate investment rose 23% YoY to ₹40,801 crore (US$4.33 billion) in H1 2026, supported by the Union Budget 2026–27's ₹12.20 lakh crore (US$138.03 billion) infrastructure-led urban development push.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o5fw3u6yshzy_cjrsml7y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rn84gifxdu1kunpxqm3l" Type="http://schemas.openxmlformats.org/officeDocument/2006/relationships/hyperlink" Target="https://realty.economictimes.indiatimes.com/" TargetMode="External"/><Relationship Id="rId5thxzmuex-xgluzcjdwkl" Type="http://schemas.openxmlformats.org/officeDocument/2006/relationships/hyperlink" Target="https://www.cushmanwakefield.com/en/india/insights" TargetMode="External"/><Relationship Id="rIdhwp-2cjq4moza-i0im0kx" Type="http://schemas.openxmlformats.org/officeDocument/2006/relationships/hyperlink" Target="https://credai.org/home/" TargetMode="External"/><Relationship Id="rId4dsrbmrgdivi77qxnjvnc" Type="http://schemas.openxmlformats.org/officeDocument/2006/relationships/hyperlink" Target="https://rera.karnataka.gov.in/home?language=en/" TargetMode="External"/><Relationship Id="rIdo5fw3u6yshzy_cjrsml7y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2026-09-07T03:39:45.622Z</dcterms:created>
  <dcterms:modified xsi:type="dcterms:W3CDTF">2026-09-07T03:39:45.634Z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