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17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Piramal Enterprises has invested over ₹500 crore in a portfolio of projects of Bengaluru-based developer Puravankara Group.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proposed merger between Indiabulls Real Estate and Embassy Group is facing prolonged delays, hampering decision-making and growth plans for the listed entity.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Home-improvement platform Arrivae has raised ₹21 crore from CaratLane founder Mithun Sacheti in an equity round.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xf4ox3hwyh5zjzmcnvcvf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 (Bengaluru Office, Q1 2026)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recorded gross leasing volume of ~5.1 MSF and net absorption of ~3.4 MSF in Q1 2026, driven by fresh leasing and pre-committed project completions.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Global Capability Centres (GCCs) accounted for 48% of leasing, followed by engineering &amp; manufacturing, flex workspaces, and IT-BPM.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City-wide vacancy remains sub-8%, with select micro-markets as tight as 2%.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held a 23% share of office leasing across India's top 8 cities in Q1 2026, second only to Mumbai (30%).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India-wide net office absorption is projected at ~55 MSF for full-year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jqj0s80vqrnkwezuhfc7">
        <w:r>
          <w:rPr>
            <w:rStyle w:val="Hyperlink"/>
            <w:sz w:val="18"/>
            <w:szCs w:val="18"/>
          </w:rPr>
          <w:t xml:space="preserve">https://www.cushmanwakefield.com/en/india/insights/marketbeat-india/bengaluru-marketbeat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Karnataka government released the draft Karnataka Apartment (Ownership and Management) Bill, 2026 (KAOMA) on 15 July, proposing an overhaul of apartment ownership and management rules statewide.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Karnataka president Bhaskar T Nagendrappa welcomed the bill as a step toward stronger consumer confidence and reduced disputes, noting its focus on redevelopment of ageing housing stock.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accounted for ~15% of all residential sales across India (2024) and has the lowest inventory overhang (10 months) of any major Indian city.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Karnataka's Southcon 2026 conference, themed “Trust through Transparency — Readying for the Growth of the Next Decade,” was held at The Lalit Ashok, Bengaluru.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n3qbch4svs5iqdntjfmo7">
        <w:r>
          <w:rPr>
            <w:rStyle w:val="Hyperlink"/>
            <w:sz w:val="18"/>
            <w:szCs w:val="18"/>
          </w:rPr>
          <w:t xml:space="preserve">https://credai.org/knowledge-center/credai-reports/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Karnataka RERA (K-RERA) has now registered over 8,357 projects and more than 5,417 real estate agents, one of the most active state implementations of RERA in the country.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ordered a Bengaluru-based developer to hand over a delayed villa and pay ₹70 lakh in interest compensation to the buyer.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mandates 70% escrow of buyer payments for construction and typically directs possession within 3–6 months plus interest once a violation is established.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Elsewhere, Gurugram RERA cleared 51 projects in H1 2026, with ₹25,000 crore riding on 11 mega developments — indicative of the broader national RERA enforcement push.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dixxyazlcmza8gjtcrex">
        <w:r>
          <w:rPr>
            <w:rStyle w:val="Hyperlink"/>
            <w:sz w:val="18"/>
            <w:szCs w:val="18"/>
          </w:rPr>
          <w:t xml:space="preserve">https://rera.news/updates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 estate capital inflows rose 72% YoY to ₹4.76 lakh crore (US$ 5.1 billion) in Q1 2026, the highest quarterly investment on record; domestic investors contributed ~96% of the total.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industry is projected to reach ₹88 lakh crore (US$ 970 billion) by 2030, more than tripling from an estimated ₹26.4 lakh crore (US$ 290 billion) in 2025.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Luxury home sales (₹4 crore and above) rose ~28% YoY across seven major cities in 2025.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National Real Estate Policy 2025 introduced a unified single-window clearance system aimed at cutting project approval delays by up to 40%, alongside incentives for green-certified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woixbrnh6xhcri3scycd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f4ox3hwyh5zjzmcnvcvf" Type="http://schemas.openxmlformats.org/officeDocument/2006/relationships/hyperlink" Target="https://realty.economictimes.indiatimes.com/" TargetMode="External"/><Relationship Id="rIdajqj0s80vqrnkwezuhfc7" Type="http://schemas.openxmlformats.org/officeDocument/2006/relationships/hyperlink" Target="https://www.cushmanwakefield.com/en/india/insights/marketbeat-india/bengaluru-marketbeat" TargetMode="External"/><Relationship Id="rIdn3qbch4svs5iqdntjfmo7" Type="http://schemas.openxmlformats.org/officeDocument/2006/relationships/hyperlink" Target="https://credai.org/knowledge-center/credai-reports/" TargetMode="External"/><Relationship Id="rIdcdixxyazlcmza8gjtcrex" Type="http://schemas.openxmlformats.org/officeDocument/2006/relationships/hyperlink" Target="https://rera.news/updates" TargetMode="External"/><Relationship Id="rIdcwoixbrnh6xhcri3scycd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2026-07-17T15:42:17.139Z</dcterms:created>
  <dcterms:modified xsi:type="dcterms:W3CDTF">2026-07-17T15:42:17.139Z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