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30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hapknmxjn1bbydxxiwzf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leasing of ~21.4 MSF, India's record 36.2 MSF logistics &amp; industrial leasing in H1 2026 (+18% YoY), and office leading real estate investment for a fourth consecutive quarter.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a_7yya0vupcm_yfqlgys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affordability squeeze for the middle class amid metro- and IT-driven price growth, and CREDAI Bengaluru's standing e-khata concerns, remain the open storylines alongside the city's 15% share of national residential sales (2024).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9geo_6f5lfpebb_zae6v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and the MoHUA-recommended four-month force-majeure extension for West Asia conflict-impacted projects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uxwmzeujbzvw-cq7ks6p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56g8m2fhoqhl3_na8yyn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hapknmxjn1bbydxxiwzf" Type="http://schemas.openxmlformats.org/officeDocument/2006/relationships/hyperlink" Target="https://realty.economictimes.indiatimes.com/" TargetMode="External"/><Relationship Id="rIdma_7yya0vupcm_yfqlgys" Type="http://schemas.openxmlformats.org/officeDocument/2006/relationships/hyperlink" Target="https://www.cushmanwakefield.com/en/india/insights" TargetMode="External"/><Relationship Id="rIde9geo_6f5lfpebb_zae6v" Type="http://schemas.openxmlformats.org/officeDocument/2006/relationships/hyperlink" Target="https://credai.org/home/" TargetMode="External"/><Relationship Id="rIdcuxwmzeujbzvw-cq7ks6p" Type="http://schemas.openxmlformats.org/officeDocument/2006/relationships/hyperlink" Target="https://rera.karnataka.gov.in/home?language=en/" TargetMode="External"/><Relationship Id="rIdy56g8m2fhoqhl3_na8yyn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2026-08-30T03:40:38.000Z</dcterms:created>
  <dcterms:modified xsi:type="dcterms:W3CDTF">2026-08-30T03:40:38.018Z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