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Morning Real Estate News Digest</w:t>
      </w:r>
    </w:p>
    <w:p>
      <w:pPr>
        <w:spacing w:after="60"/>
        <w:jc w:val="center"/>
      </w:pPr>
      <w:r>
        <w:rPr>
          <w:color w:val="555555"/>
          <w:sz w:val="24"/>
          <w:szCs w:val="24"/>
        </w:rPr>
        <w:t xml:space="preserve">India &amp; Bengaluru Real Estate — Daily Roundup</w:t>
      </w:r>
    </w:p>
    <w:p>
      <w:pPr>
        <w:pBdr>
          <w:bottom w:val="single" w:color="CCCCCC" w:sz="6" w:space="8"/>
        </w:pBdr>
        <w:spacing w:after="200"/>
        <w:jc w:val="center"/>
      </w:pPr>
      <w:r>
        <w:rPr>
          <w:color w:val="888888"/>
          <w:sz w:val="22"/>
          <w:szCs w:val="22"/>
        </w:rPr>
        <w:t xml:space="preserve">Saturday, 17 October 2026</w:t>
      </w:r>
    </w:p>
    <w:p>
      <w:pPr>
        <w:pStyle w:val="Heading1"/>
        <w:spacing w:after="150" w:before="300"/>
      </w:pPr>
      <w:r>
        <w:t xml:space="preserve">ET Realty</w:t>
      </w:r>
    </w:p>
    <w:p>
      <w:pPr>
        <w:pStyle w:val="ListParagraph"/>
        <w:numPr>
          <w:ilvl w:val="0"/>
          <w:numId w:val="2"/>
        </w:numPr>
        <w:spacing w:after="100"/>
      </w:pPr>
      <w:r>
        <w:t xml:space="preserve">No new developments reported today; standing coverage continues to note Piramal Enterprises' ₹500+ crore investment in Puravankara Group projects and Century Real Estate's ₹1,809 crore FY25 Bengaluru sales.</w:t>
      </w:r>
    </w:p>
    <w:p>
      <w:pPr>
        <w:spacing w:after="300"/>
      </w:pPr>
      <w:r>
        <w:rPr>
          <w:i/>
          <w:iCs/>
          <w:color w:val="666666"/>
          <w:sz w:val="18"/>
          <w:szCs w:val="18"/>
        </w:rPr>
        <w:t xml:space="preserve">Source: </w:t>
      </w:r>
      <w:hyperlink w:history="1" r:id="rIdnamj3xlpbf_tjwvv07kjj">
        <w:r>
          <w:rPr>
            <w:rStyle w:val="Hyperlink"/>
            <w:sz w:val="18"/>
            <w:szCs w:val="18"/>
          </w:rPr>
          <w:t xml:space="preserve">https://realty.economictimes.indiatimes.com/</w:t>
        </w:r>
      </w:hyperlink>
    </w:p>
    <w:p>
      <w:pPr>
        <w:pStyle w:val="Heading1"/>
        <w:spacing w:after="150" w:before="300"/>
      </w:pPr>
      <w:r>
        <w:t xml:space="preserve">Cushman &amp; Wakefield — MarketBeat</w:t>
      </w:r>
    </w:p>
    <w:p>
      <w:pPr>
        <w:pStyle w:val="ListParagraph"/>
        <w:numPr>
          <w:ilvl w:val="0"/>
          <w:numId w:val="2"/>
        </w:numPr>
        <w:spacing w:after="100"/>
      </w:pPr>
      <w:r>
        <w:t xml:space="preserve">Foreign capital is returning to Indian real estate as investment stayed resilient in Q3 2026, even as the RBI began a gradual tightening cycle with a 25 bps rate hike — though borrowing costs remain well below 2024 levels, per the firm's Q3 2026 Capital MarketBeat report.</w:t>
      </w:r>
    </w:p>
    <w:p>
      <w:pPr>
        <w:pStyle w:val="ListParagraph"/>
        <w:numPr>
          <w:ilvl w:val="0"/>
          <w:numId w:val="2"/>
        </w:numPr>
        <w:spacing w:after="100"/>
      </w:pPr>
      <w:r>
        <w:t xml:space="preserve">Standing figures remain the Q3 2026 office MarketBeat (14.1 MSF net absorption, record 22.7 MSF completions, GCCs 42% of leasing) and the Q3 2026 retail report (2.22 MSF leasing, mall vacancy below 5%).</w:t>
      </w:r>
    </w:p>
    <w:p>
      <w:pPr>
        <w:spacing w:after="300"/>
      </w:pPr>
      <w:r>
        <w:rPr>
          <w:i/>
          <w:iCs/>
          <w:color w:val="666666"/>
          <w:sz w:val="18"/>
          <w:szCs w:val="18"/>
        </w:rPr>
        <w:t xml:space="preserve">Source: </w:t>
      </w:r>
      <w:hyperlink w:history="1" r:id="rIdqy3o8sk5apkmj5skq9uuo">
        <w:r>
          <w:rPr>
            <w:rStyle w:val="Hyperlink"/>
            <w:sz w:val="18"/>
            <w:szCs w:val="18"/>
          </w:rPr>
          <w:t xml:space="preserve">https://www.cushmanwakefield.com/en/india/insights</w:t>
        </w:r>
      </w:hyperlink>
    </w:p>
    <w:p>
      <w:pPr>
        <w:pStyle w:val="Heading1"/>
        <w:spacing w:after="150" w:before="300"/>
      </w:pPr>
      <w:r>
        <w:t xml:space="preserve">CREDAI</w:t>
      </w:r>
    </w:p>
    <w:p>
      <w:pPr>
        <w:pStyle w:val="ListParagraph"/>
        <w:numPr>
          <w:ilvl w:val="0"/>
          <w:numId w:val="2"/>
        </w:numPr>
        <w:spacing w:after="100"/>
      </w:pPr>
      <w:r>
        <w:t xml:space="preserve">No new developments reported today; CREDAI Bengaluru's standing e-khata phased-rollout request (citing a 60% drop in property registrations) and JLL's projected 3–5% construction cost rise for 2026 remain the open storylines.</w:t>
      </w:r>
    </w:p>
    <w:p>
      <w:pPr>
        <w:spacing w:after="300"/>
      </w:pPr>
      <w:r>
        <w:rPr>
          <w:i/>
          <w:iCs/>
          <w:color w:val="666666"/>
          <w:sz w:val="18"/>
          <w:szCs w:val="18"/>
        </w:rPr>
        <w:t xml:space="preserve">Source: </w:t>
      </w:r>
      <w:hyperlink w:history="1" r:id="rId-lksixstf-gkejpq7vpaa">
        <w:r>
          <w:rPr>
            <w:rStyle w:val="Hyperlink"/>
            <w:sz w:val="18"/>
            <w:szCs w:val="18"/>
          </w:rPr>
          <w:t xml:space="preserve">https://credai.org/home/</w:t>
        </w:r>
      </w:hyperlink>
    </w:p>
    <w:p>
      <w:pPr>
        <w:pStyle w:val="Heading1"/>
        <w:spacing w:after="150" w:before="300"/>
      </w:pPr>
      <w:r>
        <w:t xml:space="preserve">RERA</w:t>
      </w:r>
    </w:p>
    <w:p>
      <w:pPr>
        <w:pStyle w:val="ListParagraph"/>
        <w:numPr>
          <w:ilvl w:val="0"/>
          <w:numId w:val="2"/>
        </w:numPr>
        <w:spacing w:after="100"/>
      </w:pPr>
      <w:r>
        <w:t xml:space="preserve">K-RERA has sent notices to developers suspected of registration violations and is reviewing cases where developers allegedly relaunched penalized projects through different entities, as part of an enforcement drive that began earlier in 2026.</w:t>
      </w:r>
    </w:p>
    <w:p>
      <w:pPr>
        <w:pStyle w:val="ListParagraph"/>
        <w:numPr>
          <w:ilvl w:val="0"/>
          <w:numId w:val="2"/>
        </w:numPr>
        <w:spacing w:after="100"/>
      </w:pPr>
      <w:r>
        <w:t xml:space="preserve">Standing figures remain the Kengeri water-charge GST ruling and the Karnataka High Court's upholding of the Unishire Promoters property attachment.</w:t>
      </w:r>
    </w:p>
    <w:p>
      <w:pPr>
        <w:spacing w:after="300"/>
      </w:pPr>
      <w:r>
        <w:rPr>
          <w:i/>
          <w:iCs/>
          <w:color w:val="666666"/>
          <w:sz w:val="18"/>
          <w:szCs w:val="18"/>
        </w:rPr>
        <w:t xml:space="preserve">Source: </w:t>
      </w:r>
      <w:hyperlink w:history="1" r:id="rIdgh3qmh2gq4jssaqx_xo2m">
        <w:r>
          <w:rPr>
            <w:rStyle w:val="Hyperlink"/>
            <w:sz w:val="18"/>
            <w:szCs w:val="18"/>
          </w:rPr>
          <w:t xml:space="preserve">https://rera.karnataka.gov.in/home?language=en/</w:t>
        </w:r>
      </w:hyperlink>
    </w:p>
    <w:p>
      <w:pPr>
        <w:pStyle w:val="Heading1"/>
        <w:spacing w:after="150" w:before="300"/>
      </w:pPr>
      <w:r>
        <w:t xml:space="preserve">IBEF</w:t>
      </w:r>
    </w:p>
    <w:p>
      <w:pPr>
        <w:pStyle w:val="ListParagraph"/>
        <w:numPr>
          <w:ilvl w:val="0"/>
          <w:numId w:val="2"/>
        </w:numPr>
        <w:spacing w:after="100"/>
      </w:pPr>
      <w:r>
        <w:t xml:space="preserve">No new developments reported today; standing figures remain India's climb to 26th in the 2026 JLL Global Real Estate Transparency Index and the sector's valuation of US$650 billion in 2025, projected to reach US$5.80 trillion by 2047.</w:t>
      </w:r>
    </w:p>
    <w:p>
      <w:pPr>
        <w:spacing w:after="300"/>
      </w:pPr>
      <w:r>
        <w:rPr>
          <w:i/>
          <w:iCs/>
          <w:color w:val="666666"/>
          <w:sz w:val="18"/>
          <w:szCs w:val="18"/>
        </w:rPr>
        <w:t xml:space="preserve">Source: </w:t>
      </w:r>
      <w:hyperlink w:history="1" r:id="rIdxy4jdpwg2ssbqykbhclfn">
        <w:r>
          <w:rPr>
            <w:rStyle w:val="Hyperlink"/>
            <w:sz w:val="18"/>
            <w:szCs w:val="18"/>
          </w:rPr>
          <w:t xml:space="preserve">https://www.ibef.org/industry/real-estate-india</w:t>
        </w:r>
      </w:hyperlink>
    </w:p>
    <w:p>
      <w:pPr>
        <w:spacing w:before="300"/>
      </w:pPr>
      <w:r>
        <w:rPr>
          <w:i/>
          <w:iCs/>
          <w:color w:val="999999"/>
          <w:sz w:val="18"/>
          <w:szCs w:val="18"/>
        </w:rPr>
        <w:t xml:space="preserve">Compiled automatically each morning from ET Realty, Cushman &amp; Wakefield MarketBeat, CREDAI, RERA, and IBEF. Figures reflect the latest publicly available reporting at compile time and may lag same-day announcements.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namj3xlpbf_tjwvv07kjj" Type="http://schemas.openxmlformats.org/officeDocument/2006/relationships/hyperlink" Target="https://realty.economictimes.indiatimes.com/" TargetMode="External"/><Relationship Id="rIdqy3o8sk5apkmj5skq9uuo" Type="http://schemas.openxmlformats.org/officeDocument/2006/relationships/hyperlink" Target="https://www.cushmanwakefield.com/en/india/insights" TargetMode="External"/><Relationship Id="rId-lksixstf-gkejpq7vpaa" Type="http://schemas.openxmlformats.org/officeDocument/2006/relationships/hyperlink" Target="https://credai.org/home/" TargetMode="External"/><Relationship Id="rIdgh3qmh2gq4jssaqx_xo2m" Type="http://schemas.openxmlformats.org/officeDocument/2006/relationships/hyperlink" Target="https://rera.karnataka.gov.in/home?language=en/" TargetMode="External"/><Relationship Id="rIdxy4jdpwg2ssbqykbhclfn" Type="http://schemas.openxmlformats.org/officeDocument/2006/relationships/hyperlink" Target="https://www.ibef.org/industry/real-estate-india"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2026-10-17T03:42:11.660Z</dcterms:created>
  <dcterms:modified xsi:type="dcterms:W3CDTF">2026-10-17T03:42:11.666Z</dcterms:modified>
</cp:coreProperties>
</file>

<file path=docProps/custom.xml><?xml version="1.0" encoding="utf-8"?>
<Properties xmlns="http://schemas.openxmlformats.org/officeDocument/2006/custom-properties" xmlns:vt="http://schemas.openxmlformats.org/officeDocument/2006/docPropsVTypes"/>
</file>