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Tuesday, 21 July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coverage continues to centre on Piramal Enterprises' over ₹500 crore investment in Bengaluru-based developer Puravankara Group and the prolonged Indiabulls Real Estate–Embassy Group merger delay.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65d4og2tovrfouknbofqn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Mumbai posted a record 19,775 residential unit launches in Q1 2026, up 25% QoQ and 7% YoY — underscoring continued developer confidence in India's largest housing market.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Mumbai's office market also opened 2026 strongly, with gross leasing volumes reaching a record ~6.6 MSF in Q1 2026.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Nuvama–Cushman &amp; Wakefield joint venture PRIME Offices Fund remains at its recent final close of ~₹4,000 crore, having built a ~4 million sq ft office portfolio nationally since launch.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mrnird8laazm7agy2j5sm">
        <w:r>
          <w:rPr>
            <w:rStyle w:val="Hyperlink"/>
            <w:sz w:val="18"/>
            <w:szCs w:val="18"/>
          </w:rPr>
          <w:t xml:space="preserve">https://www.cushmanwakefield.com/en/india/news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statements today; CREDAI Bengaluru's representation to the Urban Development Department and BMRDA — seeking higher FAR limits and a uniform statewide FAR framework under Karnataka's draft Uniform Zonal Regulations — remains the standing story.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CREDAI Karnataka's welcome of the draft Karnataka Apartment (Ownership and Management) Bill, 2026 (KAOMA) continues to be referenced amid ongoing discussion of the bill's redevelopment provisions.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3n_noj8exncrf3sjrc6tu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Karnataka RERA rulings surfaced today; K-RERA's registered base stands at 8,357+ projects and 5,417+ agents, with digital filing and automated complaint redressal tools continuing to roll out.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K-RERA, constituted 10 July 2017 and headquartered in Bengaluru, remains among the more procedurally active state RERA authorities nationally.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kz9jw6q9kvsvz6b5ncp89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real estate sector attracted US$2.9 billion in institutional investment in Q2 CY2026, with Chennai and Bengaluru together driving 27% of inflows.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Office leasing activity is projected to stay robust through 2026, with net absorption expected near 55 MSF nationally.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Chennai's office stock is set to exceed 100 MSF by end-2026, up from 89 MSF in December 2024, making it India's fifth-largest office market.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real estate sector is projected to expand to US$5.8 trillion by 2047, lifting its GDP contribution from 7.3% today to 15.5%.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56tf8a-tn3mlizfh1_2sg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5d4og2tovrfouknbofqn" Type="http://schemas.openxmlformats.org/officeDocument/2006/relationships/hyperlink" Target="https://realty.economictimes.indiatimes.com/" TargetMode="External"/><Relationship Id="rIdmrnird8laazm7agy2j5sm" Type="http://schemas.openxmlformats.org/officeDocument/2006/relationships/hyperlink" Target="https://www.cushmanwakefield.com/en/india/news" TargetMode="External"/><Relationship Id="rId3n_noj8exncrf3sjrc6tu" Type="http://schemas.openxmlformats.org/officeDocument/2006/relationships/hyperlink" Target="https://credai.org/home/" TargetMode="External"/><Relationship Id="rIdkz9jw6q9kvsvz6b5ncp89" Type="http://schemas.openxmlformats.org/officeDocument/2006/relationships/hyperlink" Target="https://rera.karnataka.gov.in/home?language=en/" TargetMode="External"/><Relationship Id="rId56tf8a-tn3mlizfh1_2sg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2026-07-21T03:44:18.513Z</dcterms:created>
  <dcterms:modified xsi:type="dcterms:W3CDTF">2026-07-21T03:44:18.532Z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