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19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₹1,062 crore Q2 sales bookings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kjo1xdxsdnkzrvgxvdc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commentary notes that with new supply additions moderating, vacancies have tightened further and office rentals continue their upward trajectory across major Indian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donepj20isxw0-f43l-u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Developer commentary continues to flag the need for cost optimization to absorb rising input costs — linked to the West Asia conflict and JLL's projected 3–5% construction cost increase in 2026 — without passing the burden on to homebuyers.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15% share of national residential sales (2024) and lowest inventory overhang among major cities remain the other standing storyline.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4e6gt1p75i260pdwhyq3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the MoHUA-recommended four-month force-majeure extension for West Asia conflict-impacted projects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6gtv8k2a9pwsj1odiep_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x7eh1ikv_xkqvttdtjpl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kjo1xdxsdnkzrvgxvdcd" Type="http://schemas.openxmlformats.org/officeDocument/2006/relationships/hyperlink" Target="https://realty.economictimes.indiatimes.com/" TargetMode="External"/><Relationship Id="rIdjdonepj20isxw0-f43l-u" Type="http://schemas.openxmlformats.org/officeDocument/2006/relationships/hyperlink" Target="https://www.cushmanwakefield.com/en/india/news" TargetMode="External"/><Relationship Id="rIdh4e6gt1p75i260pdwhyq3" Type="http://schemas.openxmlformats.org/officeDocument/2006/relationships/hyperlink" Target="https://credai.org/home/" TargetMode="External"/><Relationship Id="rIdm6gtv8k2a9pwsj1odiep_" Type="http://schemas.openxmlformats.org/officeDocument/2006/relationships/hyperlink" Target="https://rera.karnataka.gov.in/home?language=en/" TargetMode="External"/><Relationship Id="rIdgx7eh1ikv_xkqvttdtjpl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2026-08-19T03:39:37.294Z</dcterms:created>
  <dcterms:modified xsi:type="dcterms:W3CDTF">2026-08-19T03:39:37.308Z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