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Friday, 31 July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Piramal Enterprises' investment in Puravankara Group, Century Real Estate's ₹1,062 crore sales bookings and planned ₹3,000 crore East Bengaluru project, and high absorption in the ₹1.5–2.5 crore ticket-size segment.</w:t>
      </w:r>
    </w:p>
    <w:p>
      <w:pPr>
        <w:spacing w:after="300"/>
      </w:pPr>
      <w:r>
        <w:rPr>
          <w:i/>
          <w:iCs/>
          <w:color w:val="666666"/>
          <w:sz w:val="18"/>
          <w:szCs w:val="18"/>
        </w:rPr>
        <w:t xml:space="preserve">Source: </w:t>
      </w:r>
      <w:hyperlink w:history="1" r:id="rId-kwhr-xmwceeqmsp5g95-">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With new office supply additions moderating, vacancies have tightened further across major Indian cities and rentals continue their upward trajectory.</w:t>
      </w:r>
    </w:p>
    <w:p>
      <w:pPr>
        <w:pStyle w:val="ListParagraph"/>
        <w:numPr>
          <w:ilvl w:val="0"/>
          <w:numId w:val="2"/>
        </w:numPr>
        <w:spacing w:after="100"/>
      </w:pPr>
      <w:r>
        <w:t xml:space="preserve">Q1 2026 figures remain the latest published quarterly data: India office gross leasing of 21.9 MSF across the top 8 cities (+13% YoY), and Delhi NCR's 9,677 residential unit launches (+26% YoY).</w:t>
      </w:r>
    </w:p>
    <w:p>
      <w:pPr>
        <w:spacing w:after="300"/>
      </w:pPr>
      <w:r>
        <w:rPr>
          <w:i/>
          <w:iCs/>
          <w:color w:val="666666"/>
          <w:sz w:val="18"/>
          <w:szCs w:val="18"/>
        </w:rPr>
        <w:t xml:space="preserve">Source: </w:t>
      </w:r>
      <w:hyperlink w:history="1" r:id="rIdyx2ljtjjhj8uxxzodg6gt">
        <w:r>
          <w:rPr>
            <w:rStyle w:val="Hyperlink"/>
            <w:sz w:val="18"/>
            <w:szCs w:val="18"/>
          </w:rPr>
          <w:t xml:space="preserve">https://www.cushmanwakefield.com/en/india/news</w:t>
        </w:r>
      </w:hyperlink>
    </w:p>
    <w:p>
      <w:pPr>
        <w:pStyle w:val="Heading1"/>
        <w:spacing w:after="150" w:before="300"/>
      </w:pPr>
      <w:r>
        <w:t xml:space="preserve">CREDAI</w:t>
      </w:r>
    </w:p>
    <w:p>
      <w:pPr>
        <w:pStyle w:val="ListParagraph"/>
        <w:numPr>
          <w:ilvl w:val="0"/>
          <w:numId w:val="2"/>
        </w:numPr>
        <w:spacing w:after="100"/>
      </w:pPr>
      <w:r>
        <w:t xml:space="preserve">CREDAI Bengaluru president Amar Mysore reiterated that the sudden mandatory rollout of e-khata caused an application surge and significant distress for residents trying to register documents, as the body's representations to Karnataka's Revenue Minister remain pending.</w:t>
      </w:r>
    </w:p>
    <w:p>
      <w:pPr>
        <w:pStyle w:val="ListParagraph"/>
        <w:numPr>
          <w:ilvl w:val="0"/>
          <w:numId w:val="2"/>
        </w:numPr>
        <w:spacing w:after="100"/>
      </w:pPr>
      <w:r>
        <w:t xml:space="preserve">The FAR policy debate under Karnataka's draft Uniform Zonal Regulations, and Bengaluru's continued lead in India's commercial property market (14.1 million sq ft leased in H1 2026), remain the other standing storylines.</w:t>
      </w:r>
    </w:p>
    <w:p>
      <w:pPr>
        <w:spacing w:after="300"/>
      </w:pPr>
      <w:r>
        <w:rPr>
          <w:i/>
          <w:iCs/>
          <w:color w:val="666666"/>
          <w:sz w:val="18"/>
          <w:szCs w:val="18"/>
        </w:rPr>
        <w:t xml:space="preserve">Source: </w:t>
      </w:r>
      <w:hyperlink w:history="1" r:id="rIdrzd_xprujas_zwggzmqcn">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No new K-RERA rulings surfaced today; the authority's registered base remains at 8,357+ projects and 5,417+ agents. K-RERA remains one of only four state authorities accepting e-signatures on both promoter and complainant filings, and mandates project-specific escrow with a Karnataka-scheduled bank — out-of-state accounts trigger automatic registration rejection.</w:t>
      </w:r>
    </w:p>
    <w:p>
      <w:pPr>
        <w:spacing w:after="300"/>
      </w:pPr>
      <w:r>
        <w:rPr>
          <w:i/>
          <w:iCs/>
          <w:color w:val="666666"/>
          <w:sz w:val="18"/>
          <w:szCs w:val="18"/>
        </w:rPr>
        <w:t xml:space="preserve">Source: </w:t>
      </w:r>
      <w:hyperlink w:history="1" r:id="rIdfkguixbpopskratfqb8zb">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Large office transactions accounted for 59% of India's office leasing in H1 2026, driven by strong demand from GCCs, multinational corporations, and technology companies for high-quality Grade A workspace.</w:t>
      </w:r>
    </w:p>
    <w:p>
      <w:pPr>
        <w:pStyle w:val="ListParagraph"/>
        <w:numPr>
          <w:ilvl w:val="0"/>
          <w:numId w:val="2"/>
        </w:numPr>
        <w:spacing w:after="100"/>
      </w:pPr>
      <w:r>
        <w:t xml:space="preserve">India's real estate sector attracted US$2.9 billion in institutional investment in Q2 CY2026, with Chennai and Bengaluru together driving 27% of inflows.</w:t>
      </w:r>
    </w:p>
    <w:p>
      <w:pPr>
        <w:spacing w:after="300"/>
      </w:pPr>
      <w:r>
        <w:rPr>
          <w:i/>
          <w:iCs/>
          <w:color w:val="666666"/>
          <w:sz w:val="18"/>
          <w:szCs w:val="18"/>
        </w:rPr>
        <w:t xml:space="preserve">Source: </w:t>
      </w:r>
      <w:hyperlink w:history="1" r:id="rIda34i74eyz7ciknl99o4qk">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whr-xmwceeqmsp5g95-" Type="http://schemas.openxmlformats.org/officeDocument/2006/relationships/hyperlink" Target="https://realty.economictimes.indiatimes.com/" TargetMode="External"/><Relationship Id="rIdyx2ljtjjhj8uxxzodg6gt" Type="http://schemas.openxmlformats.org/officeDocument/2006/relationships/hyperlink" Target="https://www.cushmanwakefield.com/en/india/news" TargetMode="External"/><Relationship Id="rIdrzd_xprujas_zwggzmqcn" Type="http://schemas.openxmlformats.org/officeDocument/2006/relationships/hyperlink" Target="https://credai.org/home/" TargetMode="External"/><Relationship Id="rIdfkguixbpopskratfqb8zb" Type="http://schemas.openxmlformats.org/officeDocument/2006/relationships/hyperlink" Target="https://rera.karnataka.gov.in/home?language=en/" TargetMode="External"/><Relationship Id="rIda34i74eyz7ciknl99o4qk"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2026-07-31T03:39:24.734Z</dcterms:created>
  <dcterms:modified xsi:type="dcterms:W3CDTF">2026-07-31T03:39:24.750Z</dcterms:modified>
</cp:coreProperties>
</file>

<file path=docProps/custom.xml><?xml version="1.0" encoding="utf-8"?>
<Properties xmlns="http://schemas.openxmlformats.org/officeDocument/2006/custom-properties" xmlns:vt="http://schemas.openxmlformats.org/officeDocument/2006/docPropsVTypes"/>
</file>