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Saturday, 19 September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Godrej Properties purchased an 18-acre land parcel in Whitefield, Bengaluru, to develop a residential project offering 2.4 million sq ft of saleable area, located near the proposed metro line.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Godrej Properties has sold more than 1,450 homes worth ₹2,000 crore in Bengaluru.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coverage continues to note Bengaluru's 84,000 unsold housing units (India's second-highest residential inventory overhang) and Puravankara's planned ₹7,000 crore residential investment.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a32lgbrpuecxcmvukpigt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Q2 2026 office gross leasing of ~21.4 MSF across the top 8 cities, the 18,159-acre five-year land transactions trend (₹16.67 trillion revenue potential), and India's rapidly expanding H1 2026 data centre market.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waq-qaknedwqfwqcfarqz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e-khata representation to Revenue Minister Krishna Byre Gowda and BBMP Special Commissioner (Revenue) Munish Moudgil, and the city's ~₹12,100/sq ft average asking price,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ta1fbqnihkyzcmetwep59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authority's 80% disposal rate on 12,000+ buyer complaints and the roughly 2,600+ projects expired for non-compliance remain the standing enforcement backdrop, alongside the 4 September compensation order over undelivered amenities.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gvefx2kkagcfpi_nairgx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India's institutional real estate investment rising 23% YoY to ₹40,801 crore (US$4.33 billion) in H1 2026, and the sector's projected expansion to US$5.8 trillion by 2047.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pu8zgtrmrsbxqsttccprf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32lgbrpuecxcmvukpigt" Type="http://schemas.openxmlformats.org/officeDocument/2006/relationships/hyperlink" Target="https://realty.economictimes.indiatimes.com/" TargetMode="External"/><Relationship Id="rIdwaq-qaknedwqfwqcfarqz" Type="http://schemas.openxmlformats.org/officeDocument/2006/relationships/hyperlink" Target="https://www.cushmanwakefield.com/en/india/insights" TargetMode="External"/><Relationship Id="rIdta1fbqnihkyzcmetwep59" Type="http://schemas.openxmlformats.org/officeDocument/2006/relationships/hyperlink" Target="https://credai.org/home/" TargetMode="External"/><Relationship Id="rIdgvefx2kkagcfpi_nairgx" Type="http://schemas.openxmlformats.org/officeDocument/2006/relationships/hyperlink" Target="https://rera.karnataka.gov.in/home?language=en/" TargetMode="External"/><Relationship Id="rIdpu8zgtrmrsbxqsttccprf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2026-09-19T03:38:51.233Z</dcterms:created>
  <dcterms:modified xsi:type="dcterms:W3CDTF">2026-09-19T03:38:51.254Z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