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Morning Real Estate News Digest</w:t>
      </w:r>
    </w:p>
    <w:p>
      <w:pPr>
        <w:spacing w:after="60"/>
        <w:jc w:val="center"/>
      </w:pPr>
      <w:r>
        <w:rPr>
          <w:color w:val="555555"/>
          <w:sz w:val="24"/>
          <w:szCs w:val="24"/>
        </w:rPr>
        <w:t xml:space="preserve">India &amp; Bengaluru Real Estate — Daily Roundup</w:t>
      </w:r>
    </w:p>
    <w:p>
      <w:pPr>
        <w:pBdr>
          <w:bottom w:val="single" w:color="CCCCCC" w:sz="6" w:space="8"/>
        </w:pBdr>
        <w:spacing w:after="200"/>
        <w:jc w:val="center"/>
      </w:pPr>
      <w:r>
        <w:rPr>
          <w:color w:val="888888"/>
          <w:sz w:val="22"/>
          <w:szCs w:val="22"/>
        </w:rPr>
        <w:t xml:space="preserve">Friday, 16 October 2026</w:t>
      </w:r>
    </w:p>
    <w:p>
      <w:pPr>
        <w:pStyle w:val="Heading1"/>
        <w:spacing w:after="150" w:before="300"/>
      </w:pPr>
      <w:r>
        <w:t xml:space="preserve">ET Realty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standing coverage continues to note Godrej Properties' 26-acre Bengaluru plot purchase and Century Real Estate's ₹1,809 crore FY25 sales.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jbe5hir1jbmyecdvfybmd">
        <w:r>
          <w:rPr>
            <w:rStyle w:val="Hyperlink"/>
            <w:sz w:val="18"/>
            <w:szCs w:val="18"/>
          </w:rPr>
          <w:t xml:space="preserve">https://realty.economictimes.indiatimes.com/</w:t>
        </w:r>
      </w:hyperlink>
    </w:p>
    <w:p>
      <w:pPr>
        <w:pStyle w:val="Heading1"/>
        <w:spacing w:after="150" w:before="300"/>
      </w:pPr>
      <w:r>
        <w:t xml:space="preserve">Cushman &amp; Wakefield — MarketBeat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Q3 2026 office gross leasing volume across the top 8 cities stood at roughly 22 MSF, with GCCs alone leasing 9.1 MSF (42% of total activity); year-to-date leasing of 64.6 MSF is the highest for the first nine months of any year on record.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Standing figures remain the Q3 2026 office net absorption of 14.1 MSF (record 22.7 MSF completions) and the Q3 2026 retail report (2.22 MSF leasing, mall vacancy at 4.8%).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hmd1dlbphvou8niiu18rq">
        <w:r>
          <w:rPr>
            <w:rStyle w:val="Hyperlink"/>
            <w:sz w:val="18"/>
            <w:szCs w:val="18"/>
          </w:rPr>
          <w:t xml:space="preserve">https://www.cushmanwakefield.com/en/india/insights</w:t>
        </w:r>
      </w:hyperlink>
    </w:p>
    <w:p>
      <w:pPr>
        <w:pStyle w:val="Heading1"/>
        <w:spacing w:after="150" w:before="300"/>
      </w:pPr>
      <w:r>
        <w:t xml:space="preserve">CREDAI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JLL's projected 3–5% construction cost rise for 2026 and CREDAI Bengaluru's leadership and connectivity-led growth promotion remain the standing storylines.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ueyeq9bc5542fj2kgsfov">
        <w:r>
          <w:rPr>
            <w:rStyle w:val="Hyperlink"/>
            <w:sz w:val="18"/>
            <w:szCs w:val="18"/>
          </w:rPr>
          <w:t xml:space="preserve">https://credai.org/home/</w:t>
        </w:r>
      </w:hyperlink>
    </w:p>
    <w:p>
      <w:pPr>
        <w:pStyle w:val="Heading1"/>
        <w:spacing w:after="150" w:before="300"/>
      </w:pPr>
      <w:r>
        <w:t xml:space="preserve">RERA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K-RERA has ruled that a Kengeri, Bengaluru developer must drop an 18% GST charge it had added to water bills and justify any extra charges to the buyer, while also rejecting delay interest the builder had imposed — reiterating that developers remain responsible for project-related expenses until possession.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Karnataka High Court has upheld the attachment of Unishire Promoters' Bengaluru property to recover unpaid homebuyer dues, dismissing the developer's writ petition and noting the underlying K-RERA order became final after its appeal was dismissed.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qdgf6aokkpft2fezdyxzn">
        <w:r>
          <w:rPr>
            <w:rStyle w:val="Hyperlink"/>
            <w:sz w:val="18"/>
            <w:szCs w:val="18"/>
          </w:rPr>
          <w:t xml:space="preserve">https://rera.karnataka.gov.in/home?language=en/</w:t>
        </w:r>
      </w:hyperlink>
    </w:p>
    <w:p>
      <w:pPr>
        <w:pStyle w:val="Heading1"/>
        <w:spacing w:after="150" w:before="300"/>
      </w:pPr>
      <w:r>
        <w:t xml:space="preserve">IBEF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standing figures remain India's climb to 26th in the 2026 JLL Global Real Estate Transparency Index and record H1 2026 office leasing of 45.50 million sq ft (+9.6% YoY).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dagf66zomz_ucd6a3fzvj">
        <w:r>
          <w:rPr>
            <w:rStyle w:val="Hyperlink"/>
            <w:sz w:val="18"/>
            <w:szCs w:val="18"/>
          </w:rPr>
          <w:t xml:space="preserve">https://www.ibef.org/industry/real-estate-india</w:t>
        </w:r>
      </w:hyperlink>
    </w:p>
    <w:p>
      <w:pPr>
        <w:spacing w:before="300"/>
      </w:pPr>
      <w:r>
        <w:rPr>
          <w:i/>
          <w:iCs/>
          <w:color w:val="999999"/>
          <w:sz w:val="18"/>
          <w:szCs w:val="18"/>
        </w:rPr>
        <w:t xml:space="preserve">Compiled automatically each morning from ET Realty, Cushman &amp; Wakefield MarketBeat, CREDAI, RERA, and IBEF. Figures reflect the latest publicly available reporting at compile time and may lag same-day announcements.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jbe5hir1jbmyecdvfybmd" Type="http://schemas.openxmlformats.org/officeDocument/2006/relationships/hyperlink" Target="https://realty.economictimes.indiatimes.com/" TargetMode="External"/><Relationship Id="rIdhmd1dlbphvou8niiu18rq" Type="http://schemas.openxmlformats.org/officeDocument/2006/relationships/hyperlink" Target="https://www.cushmanwakefield.com/en/india/insights" TargetMode="External"/><Relationship Id="rIdueyeq9bc5542fj2kgsfov" Type="http://schemas.openxmlformats.org/officeDocument/2006/relationships/hyperlink" Target="https://credai.org/home/" TargetMode="External"/><Relationship Id="rIdqdgf6aokkpft2fezdyxzn" Type="http://schemas.openxmlformats.org/officeDocument/2006/relationships/hyperlink" Target="https://rera.karnataka.gov.in/home?language=en/" TargetMode="External"/><Relationship Id="rIddagf66zomz_ucd6a3fzvj" Type="http://schemas.openxmlformats.org/officeDocument/2006/relationships/hyperlink" Target="https://www.ibef.org/industry/real-estate-india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2026-10-16T03:42:05.332Z</dcterms:created>
  <dcterms:modified xsi:type="dcterms:W3CDTF">2026-10-16T03:42:05.333Z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