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Compensation Bands 2027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Version</w:t>
            </w:r>
          </w:p>
        </w:tc>
        <w:tc>
          <w:tcPr>
            <w:tcW w:type="dxa" w:w="1728"/>
          </w:tcPr>
          <w:p>
            <w:r>
              <w:t>Date</w:t>
            </w:r>
          </w:p>
        </w:tc>
        <w:tc>
          <w:tcPr>
            <w:tcW w:type="dxa" w:w="1728"/>
          </w:tcPr>
          <w:p>
            <w:r>
              <w:t>Owner</w:t>
            </w:r>
          </w:p>
        </w:tc>
        <w:tc>
          <w:tcPr>
            <w:tcW w:type="dxa" w:w="1728"/>
          </w:tcPr>
          <w:p>
            <w:r>
              <w:t>Distribution</w:t>
            </w:r>
          </w:p>
        </w:tc>
        <w:tc>
          <w:tcPr>
            <w:tcW w:type="dxa" w:w="1728"/>
          </w:tcPr>
          <w:p>
            <w:r>
              <w:t>Change</w:t>
            </w:r>
          </w:p>
        </w:tc>
      </w:tr>
      <w:tr>
        <w:tc>
          <w:tcPr>
            <w:tcW w:type="dxa" w:w="1728"/>
          </w:tcPr>
          <w:p>
            <w:r>
              <w:t>v2.1</w:t>
            </w:r>
          </w:p>
        </w:tc>
        <w:tc>
          <w:tcPr>
            <w:tcW w:type="dxa" w:w="1728"/>
          </w:tcPr>
          <w:p>
            <w:r>
              <w:t>Aug 29, 2026</w:t>
            </w:r>
          </w:p>
        </w:tc>
        <w:tc>
          <w:tcPr>
            <w:tcW w:type="dxa" w:w="1728"/>
          </w:tcPr>
          <w:p>
            <w:r>
              <w:t>Priya Ramanathan (VP People)</w:t>
            </w:r>
          </w:p>
        </w:tc>
        <w:tc>
          <w:tcPr>
            <w:tcW w:type="dxa" w:w="1728"/>
          </w:tcPr>
          <w:p>
            <w:r>
              <w:t>Comp Committee, People Partners</w:t>
            </w:r>
          </w:p>
        </w:tc>
        <w:tc>
          <w:tcPr>
            <w:tcW w:type="dxa" w:w="1728"/>
          </w:tcPr>
          <w:p>
            <w:r>
              <w:t>L4 band moved up after audit</w:t>
            </w:r>
          </w:p>
        </w:tc>
      </w:tr>
    </w:tbl>
    <w:p/>
    <w:p>
      <w:r>
        <w:t>CONFIDENTIAL. People Team. Approved by the Compensation Committee on August 29, 2026. This document defines salary bands, equity guidelines and bonus targets for all US based roles effective January 1, 2027. Managers may not share band ranges with candidates or employees.</w:t>
      </w:r>
    </w:p>
    <w:p>
      <w:r>
        <w:t>Philosophy. Calloway targets the 60th percentile of the market for base salary and the 75th percentile for total compensation in engineering and product. Go to market roles target the 50th percentile of base with uncapped variable pay. Bands were benchmarked against a peer group of 38 venture backed analytics and infrastructure companies.</w:t>
      </w:r>
    </w:p>
    <w:p>
      <w:pPr>
        <w:pStyle w:val="ListBullet"/>
      </w:pPr>
      <w:r>
        <w:t>Software Engineer II (L3): 142,000 to 171,000 dollars base, 0.03 percent equity grant</w:t>
      </w:r>
    </w:p>
    <w:p>
      <w:pPr>
        <w:pStyle w:val="ListBullet"/>
      </w:pPr>
      <w:r>
        <w:t>Senior Software Engineer (L4): 168,000 to 204,000 dollars base, 0.06 percent equity grant</w:t>
      </w:r>
    </w:p>
    <w:p>
      <w:pPr>
        <w:pStyle w:val="ListBullet"/>
      </w:pPr>
      <w:r>
        <w:t>Staff Engineer (L5): 205,000 to 248,000 dollars base, 0.12 percent equity grant</w:t>
      </w:r>
    </w:p>
    <w:p>
      <w:pPr>
        <w:pStyle w:val="ListBullet"/>
      </w:pPr>
      <w:r>
        <w:t>Principal Engineer (L6): 245,000 to 295,000 dollars base, 0.22 percent equity grant</w:t>
      </w:r>
    </w:p>
    <w:p>
      <w:pPr>
        <w:pStyle w:val="ListBullet"/>
      </w:pPr>
      <w:r>
        <w:t>Engineering Manager (M1): 195,000 to 236,000 dollars base</w:t>
      </w:r>
    </w:p>
    <w:p>
      <w:pPr>
        <w:pStyle w:val="ListBullet"/>
      </w:pPr>
      <w:r>
        <w:t>Account Executive, Enterprise: 145,000 dollars base, 290,000 dollars OTE</w:t>
      </w:r>
    </w:p>
    <w:p>
      <w:pPr>
        <w:pStyle w:val="ListBullet"/>
      </w:pPr>
      <w:r>
        <w:t>Product Manager, Senior: 178,000 to 214,000 dollars base</w:t>
      </w:r>
    </w:p>
    <w:p>
      <w:r>
        <w:t>Geographic differentials. Employees in Tier 1 locations, defined as the San Francisco Bay Area and New York City, are paid at 100 percent of band. Tier 2 locations such as Austin, Seattle, Boston and Denver are paid at 92 percent. All other US locations are paid at 85 percent. Remote employees who relocate to a lower tier will have their salary adjusted at the next review cycle, not immediately.</w:t>
      </w:r>
    </w:p>
    <w:p>
      <w:r>
        <w:t>Merit budget. The 2027 merit budget is 3.8 percent of base payroll, down from 4.5 percent in 2026. Managers should concentrate increases on top performers: employees rated Exceeds should receive 6 to 9 percent, Meets should receive 2 to 4 percent, and Below should receive 0 percent. A separate 0.7 percent pool is reserved for equity adjustments where employees fall below the band minimum.</w:t>
      </w:r>
    </w:p>
    <w:p>
      <w:r>
        <w:t>Known compression issues. A pay equity audit found 17 engineers at L4 hired in 2022 whose base is below the new band minimum while recent hires sit at the midpoint. The adjustment cost is estimated at 412,000 dollars and will be applied in the January cycle. Communications about this adjustment will be individual and must not reference the audit.</w:t>
      </w:r>
    </w:p>
    <w:p>
      <w:r>
        <w:t>Bonus targets. Individual contributors in non sales roles carry a 10 percent target bonus. Directors carry 20 percent and VPs 30 percent. The 2026 bonus pool will be funded at 85 percent based on company performance against the ARR target.</w:t>
      </w:r>
    </w:p>
    <w:p>
      <w:r>
        <w:t>Calibration. All ratings are calibrated in cross functional sessions led by the People Team before merit amounts are entered.</w:t>
      </w:r>
    </w:p>
    <w:p>
      <w:pPr>
        <w:pStyle w:val="Heading2"/>
      </w:pPr>
      <w:r>
        <w:t>Full engineering ladder (base, USD, Tier 1)</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Level</w:t>
            </w:r>
          </w:p>
        </w:tc>
        <w:tc>
          <w:tcPr>
            <w:tcW w:type="dxa" w:w="1234"/>
          </w:tcPr>
          <w:p>
            <w:r>
              <w:t>Title</w:t>
            </w:r>
          </w:p>
        </w:tc>
        <w:tc>
          <w:tcPr>
            <w:tcW w:type="dxa" w:w="1234"/>
          </w:tcPr>
          <w:p>
            <w:r>
              <w:t>Min</w:t>
            </w:r>
          </w:p>
        </w:tc>
        <w:tc>
          <w:tcPr>
            <w:tcW w:type="dxa" w:w="1234"/>
          </w:tcPr>
          <w:p>
            <w:r>
              <w:t>Mid</w:t>
            </w:r>
          </w:p>
        </w:tc>
        <w:tc>
          <w:tcPr>
            <w:tcW w:type="dxa" w:w="1234"/>
          </w:tcPr>
          <w:p>
            <w:r>
              <w:t>Max</w:t>
            </w:r>
          </w:p>
        </w:tc>
        <w:tc>
          <w:tcPr>
            <w:tcW w:type="dxa" w:w="1234"/>
          </w:tcPr>
          <w:p>
            <w:r>
              <w:t>Equity (% FD)</w:t>
            </w:r>
          </w:p>
        </w:tc>
        <w:tc>
          <w:tcPr>
            <w:tcW w:type="dxa" w:w="1234"/>
          </w:tcPr>
          <w:p>
            <w:r>
              <w:t>Target bonus</w:t>
            </w:r>
          </w:p>
        </w:tc>
      </w:tr>
      <w:tr>
        <w:tc>
          <w:tcPr>
            <w:tcW w:type="dxa" w:w="1234"/>
          </w:tcPr>
          <w:p>
            <w:r>
              <w:t>L2</w:t>
            </w:r>
          </w:p>
        </w:tc>
        <w:tc>
          <w:tcPr>
            <w:tcW w:type="dxa" w:w="1234"/>
          </w:tcPr>
          <w:p>
            <w:r>
              <w:t>Software Engineer I</w:t>
            </w:r>
          </w:p>
        </w:tc>
        <w:tc>
          <w:tcPr>
            <w:tcW w:type="dxa" w:w="1234"/>
          </w:tcPr>
          <w:p>
            <w:r>
              <w:t>118,000</w:t>
            </w:r>
          </w:p>
        </w:tc>
        <w:tc>
          <w:tcPr>
            <w:tcW w:type="dxa" w:w="1234"/>
          </w:tcPr>
          <w:p>
            <w:r>
              <w:t>130,000</w:t>
            </w:r>
          </w:p>
        </w:tc>
        <w:tc>
          <w:tcPr>
            <w:tcW w:type="dxa" w:w="1234"/>
          </w:tcPr>
          <w:p>
            <w:r>
              <w:t>142,000</w:t>
            </w:r>
          </w:p>
        </w:tc>
        <w:tc>
          <w:tcPr>
            <w:tcW w:type="dxa" w:w="1234"/>
          </w:tcPr>
          <w:p>
            <w:r>
              <w:t>0.015</w:t>
            </w:r>
          </w:p>
        </w:tc>
        <w:tc>
          <w:tcPr>
            <w:tcW w:type="dxa" w:w="1234"/>
          </w:tcPr>
          <w:p>
            <w:r>
              <w:t>10%</w:t>
            </w:r>
          </w:p>
        </w:tc>
      </w:tr>
      <w:tr>
        <w:tc>
          <w:tcPr>
            <w:tcW w:type="dxa" w:w="1234"/>
          </w:tcPr>
          <w:p>
            <w:r>
              <w:t>L3</w:t>
            </w:r>
          </w:p>
        </w:tc>
        <w:tc>
          <w:tcPr>
            <w:tcW w:type="dxa" w:w="1234"/>
          </w:tcPr>
          <w:p>
            <w:r>
              <w:t>Software Engineer II</w:t>
            </w:r>
          </w:p>
        </w:tc>
        <w:tc>
          <w:tcPr>
            <w:tcW w:type="dxa" w:w="1234"/>
          </w:tcPr>
          <w:p>
            <w:r>
              <w:t>142,000</w:t>
            </w:r>
          </w:p>
        </w:tc>
        <w:tc>
          <w:tcPr>
            <w:tcW w:type="dxa" w:w="1234"/>
          </w:tcPr>
          <w:p>
            <w:r>
              <w:t>156,500</w:t>
            </w:r>
          </w:p>
        </w:tc>
        <w:tc>
          <w:tcPr>
            <w:tcW w:type="dxa" w:w="1234"/>
          </w:tcPr>
          <w:p>
            <w:r>
              <w:t>171,000</w:t>
            </w:r>
          </w:p>
        </w:tc>
        <w:tc>
          <w:tcPr>
            <w:tcW w:type="dxa" w:w="1234"/>
          </w:tcPr>
          <w:p>
            <w:r>
              <w:t>0.03</w:t>
            </w:r>
          </w:p>
        </w:tc>
        <w:tc>
          <w:tcPr>
            <w:tcW w:type="dxa" w:w="1234"/>
          </w:tcPr>
          <w:p>
            <w:r>
              <w:t>10%</w:t>
            </w:r>
          </w:p>
        </w:tc>
      </w:tr>
      <w:tr>
        <w:tc>
          <w:tcPr>
            <w:tcW w:type="dxa" w:w="1234"/>
          </w:tcPr>
          <w:p>
            <w:r>
              <w:t>L4</w:t>
            </w:r>
          </w:p>
        </w:tc>
        <w:tc>
          <w:tcPr>
            <w:tcW w:type="dxa" w:w="1234"/>
          </w:tcPr>
          <w:p>
            <w:r>
              <w:t>Senior Software Engineer</w:t>
            </w:r>
          </w:p>
        </w:tc>
        <w:tc>
          <w:tcPr>
            <w:tcW w:type="dxa" w:w="1234"/>
          </w:tcPr>
          <w:p>
            <w:r>
              <w:t>168,000</w:t>
            </w:r>
          </w:p>
        </w:tc>
        <w:tc>
          <w:tcPr>
            <w:tcW w:type="dxa" w:w="1234"/>
          </w:tcPr>
          <w:p>
            <w:r>
              <w:t>186,000</w:t>
            </w:r>
          </w:p>
        </w:tc>
        <w:tc>
          <w:tcPr>
            <w:tcW w:type="dxa" w:w="1234"/>
          </w:tcPr>
          <w:p>
            <w:r>
              <w:t>204,000</w:t>
            </w:r>
          </w:p>
        </w:tc>
        <w:tc>
          <w:tcPr>
            <w:tcW w:type="dxa" w:w="1234"/>
          </w:tcPr>
          <w:p>
            <w:r>
              <w:t>0.06</w:t>
            </w:r>
          </w:p>
        </w:tc>
        <w:tc>
          <w:tcPr>
            <w:tcW w:type="dxa" w:w="1234"/>
          </w:tcPr>
          <w:p>
            <w:r>
              <w:t>10%</w:t>
            </w:r>
          </w:p>
        </w:tc>
      </w:tr>
      <w:tr>
        <w:tc>
          <w:tcPr>
            <w:tcW w:type="dxa" w:w="1234"/>
          </w:tcPr>
          <w:p>
            <w:r>
              <w:t>L5</w:t>
            </w:r>
          </w:p>
        </w:tc>
        <w:tc>
          <w:tcPr>
            <w:tcW w:type="dxa" w:w="1234"/>
          </w:tcPr>
          <w:p>
            <w:r>
              <w:t>Staff Engineer</w:t>
            </w:r>
          </w:p>
        </w:tc>
        <w:tc>
          <w:tcPr>
            <w:tcW w:type="dxa" w:w="1234"/>
          </w:tcPr>
          <w:p>
            <w:r>
              <w:t>205,000</w:t>
            </w:r>
          </w:p>
        </w:tc>
        <w:tc>
          <w:tcPr>
            <w:tcW w:type="dxa" w:w="1234"/>
          </w:tcPr>
          <w:p>
            <w:r>
              <w:t>226,500</w:t>
            </w:r>
          </w:p>
        </w:tc>
        <w:tc>
          <w:tcPr>
            <w:tcW w:type="dxa" w:w="1234"/>
          </w:tcPr>
          <w:p>
            <w:r>
              <w:t>248,000</w:t>
            </w:r>
          </w:p>
        </w:tc>
        <w:tc>
          <w:tcPr>
            <w:tcW w:type="dxa" w:w="1234"/>
          </w:tcPr>
          <w:p>
            <w:r>
              <w:t>0.12</w:t>
            </w:r>
          </w:p>
        </w:tc>
        <w:tc>
          <w:tcPr>
            <w:tcW w:type="dxa" w:w="1234"/>
          </w:tcPr>
          <w:p>
            <w:r>
              <w:t>10%</w:t>
            </w:r>
          </w:p>
        </w:tc>
      </w:tr>
      <w:tr>
        <w:tc>
          <w:tcPr>
            <w:tcW w:type="dxa" w:w="1234"/>
          </w:tcPr>
          <w:p>
            <w:r>
              <w:t>L6</w:t>
            </w:r>
          </w:p>
        </w:tc>
        <w:tc>
          <w:tcPr>
            <w:tcW w:type="dxa" w:w="1234"/>
          </w:tcPr>
          <w:p>
            <w:r>
              <w:t>Principal Engineer</w:t>
            </w:r>
          </w:p>
        </w:tc>
        <w:tc>
          <w:tcPr>
            <w:tcW w:type="dxa" w:w="1234"/>
          </w:tcPr>
          <w:p>
            <w:r>
              <w:t>245,000</w:t>
            </w:r>
          </w:p>
        </w:tc>
        <w:tc>
          <w:tcPr>
            <w:tcW w:type="dxa" w:w="1234"/>
          </w:tcPr>
          <w:p>
            <w:r>
              <w:t>270,000</w:t>
            </w:r>
          </w:p>
        </w:tc>
        <w:tc>
          <w:tcPr>
            <w:tcW w:type="dxa" w:w="1234"/>
          </w:tcPr>
          <w:p>
            <w:r>
              <w:t>295,000</w:t>
            </w:r>
          </w:p>
        </w:tc>
        <w:tc>
          <w:tcPr>
            <w:tcW w:type="dxa" w:w="1234"/>
          </w:tcPr>
          <w:p>
            <w:r>
              <w:t>0.22</w:t>
            </w:r>
          </w:p>
        </w:tc>
        <w:tc>
          <w:tcPr>
            <w:tcW w:type="dxa" w:w="1234"/>
          </w:tcPr>
          <w:p>
            <w:r>
              <w:t>15%</w:t>
            </w:r>
          </w:p>
        </w:tc>
      </w:tr>
      <w:tr>
        <w:tc>
          <w:tcPr>
            <w:tcW w:type="dxa" w:w="1234"/>
          </w:tcPr>
          <w:p>
            <w:r>
              <w:t>M1</w:t>
            </w:r>
          </w:p>
        </w:tc>
        <w:tc>
          <w:tcPr>
            <w:tcW w:type="dxa" w:w="1234"/>
          </w:tcPr>
          <w:p>
            <w:r>
              <w:t>Engineering Manager</w:t>
            </w:r>
          </w:p>
        </w:tc>
        <w:tc>
          <w:tcPr>
            <w:tcW w:type="dxa" w:w="1234"/>
          </w:tcPr>
          <w:p>
            <w:r>
              <w:t>195,000</w:t>
            </w:r>
          </w:p>
        </w:tc>
        <w:tc>
          <w:tcPr>
            <w:tcW w:type="dxa" w:w="1234"/>
          </w:tcPr>
          <w:p>
            <w:r>
              <w:t>215,500</w:t>
            </w:r>
          </w:p>
        </w:tc>
        <w:tc>
          <w:tcPr>
            <w:tcW w:type="dxa" w:w="1234"/>
          </w:tcPr>
          <w:p>
            <w:r>
              <w:t>236,000</w:t>
            </w:r>
          </w:p>
        </w:tc>
        <w:tc>
          <w:tcPr>
            <w:tcW w:type="dxa" w:w="1234"/>
          </w:tcPr>
          <w:p>
            <w:r>
              <w:t>0.10</w:t>
            </w:r>
          </w:p>
        </w:tc>
        <w:tc>
          <w:tcPr>
            <w:tcW w:type="dxa" w:w="1234"/>
          </w:tcPr>
          <w:p>
            <w:r>
              <w:t>15%</w:t>
            </w:r>
          </w:p>
        </w:tc>
      </w:tr>
      <w:tr>
        <w:tc>
          <w:tcPr>
            <w:tcW w:type="dxa" w:w="1234"/>
          </w:tcPr>
          <w:p>
            <w:r>
              <w:t>M2</w:t>
            </w:r>
          </w:p>
        </w:tc>
        <w:tc>
          <w:tcPr>
            <w:tcW w:type="dxa" w:w="1234"/>
          </w:tcPr>
          <w:p>
            <w:r>
              <w:t>Senior Eng Manager</w:t>
            </w:r>
          </w:p>
        </w:tc>
        <w:tc>
          <w:tcPr>
            <w:tcW w:type="dxa" w:w="1234"/>
          </w:tcPr>
          <w:p>
            <w:r>
              <w:t>228,000</w:t>
            </w:r>
          </w:p>
        </w:tc>
        <w:tc>
          <w:tcPr>
            <w:tcW w:type="dxa" w:w="1234"/>
          </w:tcPr>
          <w:p>
            <w:r>
              <w:t>252,000</w:t>
            </w:r>
          </w:p>
        </w:tc>
        <w:tc>
          <w:tcPr>
            <w:tcW w:type="dxa" w:w="1234"/>
          </w:tcPr>
          <w:p>
            <w:r>
              <w:t>276,000</w:t>
            </w:r>
          </w:p>
        </w:tc>
        <w:tc>
          <w:tcPr>
            <w:tcW w:type="dxa" w:w="1234"/>
          </w:tcPr>
          <w:p>
            <w:r>
              <w:t>0.16</w:t>
            </w:r>
          </w:p>
        </w:tc>
        <w:tc>
          <w:tcPr>
            <w:tcW w:type="dxa" w:w="1234"/>
          </w:tcPr>
          <w:p>
            <w:r>
              <w:t>20%</w:t>
            </w:r>
          </w:p>
        </w:tc>
      </w:tr>
      <w:tr>
        <w:tc>
          <w:tcPr>
            <w:tcW w:type="dxa" w:w="1234"/>
          </w:tcPr>
          <w:p>
            <w:r>
              <w:t>D1</w:t>
            </w:r>
          </w:p>
        </w:tc>
        <w:tc>
          <w:tcPr>
            <w:tcW w:type="dxa" w:w="1234"/>
          </w:tcPr>
          <w:p>
            <w:r>
              <w:t>Director of Engineering</w:t>
            </w:r>
          </w:p>
        </w:tc>
        <w:tc>
          <w:tcPr>
            <w:tcW w:type="dxa" w:w="1234"/>
          </w:tcPr>
          <w:p>
            <w:r>
              <w:t>262,000</w:t>
            </w:r>
          </w:p>
        </w:tc>
        <w:tc>
          <w:tcPr>
            <w:tcW w:type="dxa" w:w="1234"/>
          </w:tcPr>
          <w:p>
            <w:r>
              <w:t>290,000</w:t>
            </w:r>
          </w:p>
        </w:tc>
        <w:tc>
          <w:tcPr>
            <w:tcW w:type="dxa" w:w="1234"/>
          </w:tcPr>
          <w:p>
            <w:r>
              <w:t>318,000</w:t>
            </w:r>
          </w:p>
        </w:tc>
        <w:tc>
          <w:tcPr>
            <w:tcW w:type="dxa" w:w="1234"/>
          </w:tcPr>
          <w:p>
            <w:r>
              <w:t>0.25</w:t>
            </w:r>
          </w:p>
        </w:tc>
        <w:tc>
          <w:tcPr>
            <w:tcW w:type="dxa" w:w="1234"/>
          </w:tcPr>
          <w:p>
            <w:r>
              <w:t>20%</w:t>
            </w:r>
          </w:p>
        </w:tc>
      </w:tr>
    </w:tbl>
    <w:p/>
    <w:p>
      <w:pPr>
        <w:pStyle w:val="Heading2"/>
      </w:pPr>
      <w:r>
        <w:t>Go to market (Tier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Role</w:t>
            </w:r>
          </w:p>
        </w:tc>
        <w:tc>
          <w:tcPr>
            <w:tcW w:type="dxa" w:w="1728"/>
          </w:tcPr>
          <w:p>
            <w:r>
              <w:t>Base</w:t>
            </w:r>
          </w:p>
        </w:tc>
        <w:tc>
          <w:tcPr>
            <w:tcW w:type="dxa" w:w="1728"/>
          </w:tcPr>
          <w:p>
            <w:r>
              <w:t>OTE</w:t>
            </w:r>
          </w:p>
        </w:tc>
        <w:tc>
          <w:tcPr>
            <w:tcW w:type="dxa" w:w="1728"/>
          </w:tcPr>
          <w:p>
            <w:r>
              <w:t>Split</w:t>
            </w:r>
          </w:p>
        </w:tc>
        <w:tc>
          <w:tcPr>
            <w:tcW w:type="dxa" w:w="1728"/>
          </w:tcPr>
          <w:p>
            <w:r>
              <w:t>Quota</w:t>
            </w:r>
          </w:p>
        </w:tc>
      </w:tr>
      <w:tr>
        <w:tc>
          <w:tcPr>
            <w:tcW w:type="dxa" w:w="1728"/>
          </w:tcPr>
          <w:p>
            <w:r>
              <w:t>SDR</w:t>
            </w:r>
          </w:p>
        </w:tc>
        <w:tc>
          <w:tcPr>
            <w:tcW w:type="dxa" w:w="1728"/>
          </w:tcPr>
          <w:p>
            <w:r>
              <w:t>68,000</w:t>
            </w:r>
          </w:p>
        </w:tc>
        <w:tc>
          <w:tcPr>
            <w:tcW w:type="dxa" w:w="1728"/>
          </w:tcPr>
          <w:p>
            <w:r>
              <w:t>95,000</w:t>
            </w:r>
          </w:p>
        </w:tc>
        <w:tc>
          <w:tcPr>
            <w:tcW w:type="dxa" w:w="1728"/>
          </w:tcPr>
          <w:p>
            <w:r>
              <w:t>72/28</w:t>
            </w:r>
          </w:p>
        </w:tc>
        <w:tc>
          <w:tcPr>
            <w:tcW w:type="dxa" w:w="1728"/>
          </w:tcPr>
          <w:p>
            <w:r>
              <w:t>meetings based</w:t>
            </w:r>
          </w:p>
        </w:tc>
      </w:tr>
      <w:tr>
        <w:tc>
          <w:tcPr>
            <w:tcW w:type="dxa" w:w="1728"/>
          </w:tcPr>
          <w:p>
            <w:r>
              <w:t>Mid Market AE</w:t>
            </w:r>
          </w:p>
        </w:tc>
        <w:tc>
          <w:tcPr>
            <w:tcW w:type="dxa" w:w="1728"/>
          </w:tcPr>
          <w:p>
            <w:r>
              <w:t>110,000</w:t>
            </w:r>
          </w:p>
        </w:tc>
        <w:tc>
          <w:tcPr>
            <w:tcW w:type="dxa" w:w="1728"/>
          </w:tcPr>
          <w:p>
            <w:r>
              <w:t>210,000</w:t>
            </w:r>
          </w:p>
        </w:tc>
        <w:tc>
          <w:tcPr>
            <w:tcW w:type="dxa" w:w="1728"/>
          </w:tcPr>
          <w:p>
            <w:r>
              <w:t>52/48</w:t>
            </w:r>
          </w:p>
        </w:tc>
        <w:tc>
          <w:tcPr>
            <w:tcW w:type="dxa" w:w="1728"/>
          </w:tcPr>
          <w:p>
            <w:r>
              <w:t>720,000</w:t>
            </w:r>
          </w:p>
        </w:tc>
      </w:tr>
      <w:tr>
        <w:tc>
          <w:tcPr>
            <w:tcW w:type="dxa" w:w="1728"/>
          </w:tcPr>
          <w:p>
            <w:r>
              <w:t>Enterprise AE</w:t>
            </w:r>
          </w:p>
        </w:tc>
        <w:tc>
          <w:tcPr>
            <w:tcW w:type="dxa" w:w="1728"/>
          </w:tcPr>
          <w:p>
            <w:r>
              <w:t>145,000</w:t>
            </w:r>
          </w:p>
        </w:tc>
        <w:tc>
          <w:tcPr>
            <w:tcW w:type="dxa" w:w="1728"/>
          </w:tcPr>
          <w:p>
            <w:r>
              <w:t>290,000</w:t>
            </w:r>
          </w:p>
        </w:tc>
        <w:tc>
          <w:tcPr>
            <w:tcW w:type="dxa" w:w="1728"/>
          </w:tcPr>
          <w:p>
            <w:r>
              <w:t>50/50</w:t>
            </w:r>
          </w:p>
        </w:tc>
        <w:tc>
          <w:tcPr>
            <w:tcW w:type="dxa" w:w="1728"/>
          </w:tcPr>
          <w:p>
            <w:r>
              <w:t>1,450,000</w:t>
            </w:r>
          </w:p>
        </w:tc>
      </w:tr>
      <w:tr>
        <w:tc>
          <w:tcPr>
            <w:tcW w:type="dxa" w:w="1728"/>
          </w:tcPr>
          <w:p>
            <w:r>
              <w:t>Sales Engineer</w:t>
            </w:r>
          </w:p>
        </w:tc>
        <w:tc>
          <w:tcPr>
            <w:tcW w:type="dxa" w:w="1728"/>
          </w:tcPr>
          <w:p>
            <w:r>
              <w:t>160,000</w:t>
            </w:r>
          </w:p>
        </w:tc>
        <w:tc>
          <w:tcPr>
            <w:tcW w:type="dxa" w:w="1728"/>
          </w:tcPr>
          <w:p>
            <w:r>
              <w:t>210,000</w:t>
            </w:r>
          </w:p>
        </w:tc>
        <w:tc>
          <w:tcPr>
            <w:tcW w:type="dxa" w:w="1728"/>
          </w:tcPr>
          <w:p>
            <w:r>
              <w:t>76/24</w:t>
            </w:r>
          </w:p>
        </w:tc>
        <w:tc>
          <w:tcPr>
            <w:tcW w:type="dxa" w:w="1728"/>
          </w:tcPr>
          <w:p>
            <w:r>
              <w:t>team quota</w:t>
            </w:r>
          </w:p>
        </w:tc>
      </w:tr>
      <w:tr>
        <w:tc>
          <w:tcPr>
            <w:tcW w:type="dxa" w:w="1728"/>
          </w:tcPr>
          <w:p>
            <w:r>
              <w:t>CSM</w:t>
            </w:r>
          </w:p>
        </w:tc>
        <w:tc>
          <w:tcPr>
            <w:tcW w:type="dxa" w:w="1728"/>
          </w:tcPr>
          <w:p>
            <w:r>
              <w:t>105,000</w:t>
            </w:r>
          </w:p>
        </w:tc>
        <w:tc>
          <w:tcPr>
            <w:tcW w:type="dxa" w:w="1728"/>
          </w:tcPr>
          <w:p>
            <w:r>
              <w:t>125,000</w:t>
            </w:r>
          </w:p>
        </w:tc>
        <w:tc>
          <w:tcPr>
            <w:tcW w:type="dxa" w:w="1728"/>
          </w:tcPr>
          <w:p>
            <w:r>
              <w:t>84/16</w:t>
            </w:r>
          </w:p>
        </w:tc>
        <w:tc>
          <w:tcPr>
            <w:tcW w:type="dxa" w:w="1728"/>
          </w:tcPr>
          <w:p>
            <w:r>
              <w:t>GRR target</w:t>
            </w:r>
          </w:p>
        </w:tc>
      </w:tr>
    </w:tbl>
    <w:p/>
    <w:p>
      <w:r>
        <w:t>Equity refresh. Employees at L4 and above with at least 24 months of tenure are eligible for an annual refresh grant equal to 25 percent of their new hire grant if rated Meets, and 50 percent if rated Exceeds. Refresh grants vest monthly over four years with no cliff. The current 409A valuation is 6.12 dollars per share (August 2026).</w:t>
      </w:r>
    </w:p>
    <w:p>
      <w:r>
        <w:t>Manager FAQ. Q: Can I tell a candidate the range? A: In states with pay transparency laws (CA, NY, WA, CO, IL and others) the posted range is the full band and you can reference it. Do not share the midpoint or the internal guideline of offering at 45 to 55 percent of range. Q: Someone found out a peer earns more. A: Route to your People Partner, do not discuss specific salaries. Q: Can I promise a promotion in the offer? A: No.</w:t>
      </w:r>
    </w:p>
    <w:p>
      <w:r>
        <w:t>Open item for committee: whether to add a Tier 0 at 108 percent for Bay Area ML roles given Lantern hiring difficulty. People team recommends against, prefers one off sign on bonuses up to 60k for the three ML infra roles.</w:t>
      </w:r>
    </w:p>
    <w:p>
      <w:r>
        <w:t>Offers outside band. Any offer above the band maximum requires approval from the VP of People and the CFO. Sign on bonuses are capped at 40,000 dollars for L5 and below. Do not match competing offers from Quillmark without consulting the People Team, as we are aware of a targeted recruiting campaign.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HR Compensation Bands 2027 | v2.1 |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CONFIDENTIAL - Calloway Metrics,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