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Contract Redline Summary: Skylark Cloud Services MSA Renewal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Owner</w:t>
            </w:r>
          </w:p>
        </w:tc>
        <w:tc>
          <w:tcPr>
            <w:tcW w:type="dxa" w:w="1728"/>
          </w:tcPr>
          <w:p>
            <w:r>
              <w:t>Distribution</w:t>
            </w:r>
          </w:p>
        </w:tc>
        <w:tc>
          <w:tcPr>
            <w:tcW w:type="dxa" w:w="1728"/>
          </w:tcPr>
          <w:p>
            <w:r>
              <w:t>Change</w:t>
            </w:r>
          </w:p>
        </w:tc>
      </w:tr>
      <w:tr>
        <w:tc>
          <w:tcPr>
            <w:tcW w:type="dxa" w:w="1728"/>
          </w:tcPr>
          <w:p>
            <w:r>
              <w:t>v2</w:t>
            </w:r>
          </w:p>
        </w:tc>
        <w:tc>
          <w:tcPr>
            <w:tcW w:type="dxa" w:w="1728"/>
          </w:tcPr>
          <w:p>
            <w:r>
              <w:t>Oct 12, 2026</w:t>
            </w:r>
          </w:p>
        </w:tc>
        <w:tc>
          <w:tcPr>
            <w:tcW w:type="dxa" w:w="1728"/>
          </w:tcPr>
          <w:p>
            <w:r>
              <w:t>A. Mehra (Legal)</w:t>
            </w:r>
          </w:p>
        </w:tc>
        <w:tc>
          <w:tcPr>
            <w:tcW w:type="dxa" w:w="1728"/>
          </w:tcPr>
          <w:p>
            <w:r>
              <w:t>R. Okafor, A. Novak, Procurement</w:t>
            </w:r>
          </w:p>
        </w:tc>
        <w:tc>
          <w:tcPr>
            <w:tcW w:type="dxa" w:w="1728"/>
          </w:tcPr>
          <w:p>
            <w:r>
              <w:t>added 9.2 excerpt</w:t>
            </w:r>
          </w:p>
        </w:tc>
      </w:tr>
    </w:tbl>
    <w:p/>
    <w:p>
      <w:r>
        <w:t>CONFIDENTIAL. Legal and Procurement. Prepared by Arjun Mehra (Senior Counsel, Commercial) for Raj Okafor and Ana Novak. Re: renewal of the Master Services Agreement and Order Form #7 with Skylark Cloud Services, our primary compute and storage provider. Current term ends January 31, 2027.</w:t>
      </w:r>
    </w:p>
    <w:p>
      <w:pPr>
        <w:pStyle w:val="Heading2"/>
      </w:pPr>
      <w:r>
        <w:t>Deal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Term</w:t>
            </w:r>
          </w:p>
        </w:tc>
        <w:tc>
          <w:tcPr>
            <w:tcW w:type="dxa" w:w="1728"/>
          </w:tcPr>
          <w:p>
            <w:r>
              <w:t>Current</w:t>
            </w:r>
          </w:p>
        </w:tc>
        <w:tc>
          <w:tcPr>
            <w:tcW w:type="dxa" w:w="1728"/>
          </w:tcPr>
          <w:p>
            <w:r>
              <w:t>Skylark proposal (v1)</w:t>
            </w:r>
          </w:p>
        </w:tc>
        <w:tc>
          <w:tcPr>
            <w:tcW w:type="dxa" w:w="1728"/>
          </w:tcPr>
          <w:p>
            <w:r>
              <w:t>Our redline (v2)</w:t>
            </w:r>
          </w:p>
        </w:tc>
        <w:tc>
          <w:tcPr>
            <w:tcW w:type="dxa" w:w="1728"/>
          </w:tcPr>
          <w:p>
            <w:r>
              <w:t>Status</w:t>
            </w:r>
          </w:p>
        </w:tc>
      </w:tr>
      <w:tr>
        <w:tc>
          <w:tcPr>
            <w:tcW w:type="dxa" w:w="1728"/>
          </w:tcPr>
          <w:p>
            <w:r>
              <w:t>Commit</w:t>
            </w:r>
          </w:p>
        </w:tc>
        <w:tc>
          <w:tcPr>
            <w:tcW w:type="dxa" w:w="1728"/>
          </w:tcPr>
          <w:p>
            <w:r>
              <w:t>$9.0M / 3 yr</w:t>
            </w:r>
          </w:p>
        </w:tc>
        <w:tc>
          <w:tcPr>
            <w:tcW w:type="dxa" w:w="1728"/>
          </w:tcPr>
          <w:p>
            <w:r>
              <w:t>$14.4M / 3 yr</w:t>
            </w:r>
          </w:p>
        </w:tc>
        <w:tc>
          <w:tcPr>
            <w:tcW w:type="dxa" w:w="1728"/>
          </w:tcPr>
          <w:p>
            <w:r>
              <w:t>$12.6M / 3 yr</w:t>
            </w:r>
          </w:p>
        </w:tc>
        <w:tc>
          <w:tcPr>
            <w:tcW w:type="dxa" w:w="1728"/>
          </w:tcPr>
          <w:p>
            <w:r>
              <w:t>open</w:t>
            </w:r>
          </w:p>
        </w:tc>
      </w:tr>
      <w:tr>
        <w:tc>
          <w:tcPr>
            <w:tcW w:type="dxa" w:w="1728"/>
          </w:tcPr>
          <w:p>
            <w:r>
              <w:t>Discount off list</w:t>
            </w:r>
          </w:p>
        </w:tc>
        <w:tc>
          <w:tcPr>
            <w:tcW w:type="dxa" w:w="1728"/>
          </w:tcPr>
          <w:p>
            <w:r>
              <w:t>22%</w:t>
            </w:r>
          </w:p>
        </w:tc>
        <w:tc>
          <w:tcPr>
            <w:tcW w:type="dxa" w:w="1728"/>
          </w:tcPr>
          <w:p>
            <w:r>
              <w:t>27%</w:t>
            </w:r>
          </w:p>
        </w:tc>
        <w:tc>
          <w:tcPr>
            <w:tcW w:type="dxa" w:w="1728"/>
          </w:tcPr>
          <w:p>
            <w:r>
              <w:t>31%</w:t>
            </w:r>
          </w:p>
        </w:tc>
        <w:tc>
          <w:tcPr>
            <w:tcW w:type="dxa" w:w="1728"/>
          </w:tcPr>
          <w:p>
            <w:r>
              <w:t>open</w:t>
            </w:r>
          </w:p>
        </w:tc>
      </w:tr>
      <w:tr>
        <w:tc>
          <w:tcPr>
            <w:tcW w:type="dxa" w:w="1728"/>
          </w:tcPr>
          <w:p>
            <w:r>
              <w:t>Ramp</w:t>
            </w:r>
          </w:p>
        </w:tc>
        <w:tc>
          <w:tcPr>
            <w:tcW w:type="dxa" w:w="1728"/>
          </w:tcPr>
          <w:p>
            <w:r>
              <w:t>flat</w:t>
            </w:r>
          </w:p>
        </w:tc>
        <w:tc>
          <w:tcPr>
            <w:tcW w:type="dxa" w:w="1728"/>
          </w:tcPr>
          <w:p>
            <w:r>
              <w:t>flat</w:t>
            </w:r>
          </w:p>
        </w:tc>
        <w:tc>
          <w:tcPr>
            <w:tcW w:type="dxa" w:w="1728"/>
          </w:tcPr>
          <w:p>
            <w:r>
              <w:t>Y1 3.6 / Y2 4.2 / Y3 4.8</w:t>
            </w:r>
          </w:p>
        </w:tc>
        <w:tc>
          <w:tcPr>
            <w:tcW w:type="dxa" w:w="1728"/>
          </w:tcPr>
          <w:p>
            <w:r>
              <w:t>agreed in principle</w:t>
            </w:r>
          </w:p>
        </w:tc>
      </w:tr>
      <w:tr>
        <w:tc>
          <w:tcPr>
            <w:tcW w:type="dxa" w:w="1728"/>
          </w:tcPr>
          <w:p>
            <w:r>
              <w:t>Overage rate</w:t>
            </w:r>
          </w:p>
        </w:tc>
        <w:tc>
          <w:tcPr>
            <w:tcW w:type="dxa" w:w="1728"/>
          </w:tcPr>
          <w:p>
            <w:r>
              <w:t>list</w:t>
            </w:r>
          </w:p>
        </w:tc>
        <w:tc>
          <w:tcPr>
            <w:tcW w:type="dxa" w:w="1728"/>
          </w:tcPr>
          <w:p>
            <w:r>
              <w:t>list less 10%</w:t>
            </w:r>
          </w:p>
        </w:tc>
        <w:tc>
          <w:tcPr>
            <w:tcW w:type="dxa" w:w="1728"/>
          </w:tcPr>
          <w:p>
            <w:r>
              <w:t>commit discount applies</w:t>
            </w:r>
          </w:p>
        </w:tc>
        <w:tc>
          <w:tcPr>
            <w:tcW w:type="dxa" w:w="1728"/>
          </w:tcPr>
          <w:p>
            <w:r>
              <w:t>open</w:t>
            </w:r>
          </w:p>
        </w:tc>
      </w:tr>
      <w:tr>
        <w:tc>
          <w:tcPr>
            <w:tcW w:type="dxa" w:w="1728"/>
          </w:tcPr>
          <w:p>
            <w:r>
              <w:t>Support tier</w:t>
            </w:r>
          </w:p>
        </w:tc>
        <w:tc>
          <w:tcPr>
            <w:tcW w:type="dxa" w:w="1728"/>
          </w:tcPr>
          <w:p>
            <w:r>
              <w:t>Business</w:t>
            </w:r>
          </w:p>
        </w:tc>
        <w:tc>
          <w:tcPr>
            <w:tcW w:type="dxa" w:w="1728"/>
          </w:tcPr>
          <w:p>
            <w:r>
              <w:t>Enterprise (+$180k/yr)</w:t>
            </w:r>
          </w:p>
        </w:tc>
        <w:tc>
          <w:tcPr>
            <w:tcW w:type="dxa" w:w="1728"/>
          </w:tcPr>
          <w:p>
            <w:r>
              <w:t>Enterprise included</w:t>
            </w:r>
          </w:p>
        </w:tc>
        <w:tc>
          <w:tcPr>
            <w:tcW w:type="dxa" w:w="1728"/>
          </w:tcPr>
          <w:p>
            <w:r>
              <w:t>open</w:t>
            </w:r>
          </w:p>
        </w:tc>
      </w:tr>
      <w:tr>
        <w:tc>
          <w:tcPr>
            <w:tcW w:type="dxa" w:w="1728"/>
          </w:tcPr>
          <w:p>
            <w:r>
              <w:t>Credits for migration</w:t>
            </w:r>
          </w:p>
        </w:tc>
        <w:tc>
          <w:tcPr>
            <w:tcW w:type="dxa" w:w="1728"/>
          </w:tcPr>
          <w:p>
            <w:r>
              <w:t>none</w:t>
            </w:r>
          </w:p>
        </w:tc>
        <w:tc>
          <w:tcPr>
            <w:tcW w:type="dxa" w:w="1728"/>
          </w:tcPr>
          <w:p>
            <w:r>
              <w:t>$250k</w:t>
            </w:r>
          </w:p>
        </w:tc>
        <w:tc>
          <w:tcPr>
            <w:tcW w:type="dxa" w:w="1728"/>
          </w:tcPr>
          <w:p>
            <w:r>
              <w:t>$600k</w:t>
            </w:r>
          </w:p>
        </w:tc>
        <w:tc>
          <w:tcPr>
            <w:tcW w:type="dxa" w:w="1728"/>
          </w:tcPr>
          <w:p>
            <w:r>
              <w:t>open</w:t>
            </w:r>
          </w:p>
        </w:tc>
      </w:tr>
      <w:tr>
        <w:tc>
          <w:tcPr>
            <w:tcW w:type="dxa" w:w="1728"/>
          </w:tcPr>
          <w:p>
            <w:r>
              <w:t>Term</w:t>
            </w:r>
          </w:p>
        </w:tc>
        <w:tc>
          <w:tcPr>
            <w:tcW w:type="dxa" w:w="1728"/>
          </w:tcPr>
          <w:p>
            <w:r>
              <w:t>3 yr</w:t>
            </w:r>
          </w:p>
        </w:tc>
        <w:tc>
          <w:tcPr>
            <w:tcW w:type="dxa" w:w="1728"/>
          </w:tcPr>
          <w:p>
            <w:r>
              <w:t>3 yr</w:t>
            </w:r>
          </w:p>
        </w:tc>
        <w:tc>
          <w:tcPr>
            <w:tcW w:type="dxa" w:w="1728"/>
          </w:tcPr>
          <w:p>
            <w:r>
              <w:t>3 yr, 1 yr opt out if &lt;99.9% avail twice</w:t>
            </w:r>
          </w:p>
        </w:tc>
        <w:tc>
          <w:tcPr>
            <w:tcW w:type="dxa" w:w="1728"/>
          </w:tcPr>
          <w:p>
            <w:r>
              <w:t>rejected by Skylark</w:t>
            </w:r>
          </w:p>
        </w:tc>
      </w:tr>
    </w:tbl>
    <w:p/>
    <w:p>
      <w:pPr>
        <w:pStyle w:val="Heading2"/>
      </w:pPr>
      <w:r>
        <w:t>Key redlines and rationale</w:t>
      </w:r>
    </w:p>
    <w:p>
      <w:r>
        <w:t>1. Commit size. Skylark's 14.4M assumes our 2026 run rate grows 40% and includes Ferrolake moving off their own provider. We do not want to commit to Ferrolake volumes before closing. Our 12.6M reflects current run rate (about 3.3M per year) plus Riptrace growth at the conservative case. Raj is comfortable going to 13.2M if the discount reaches 32%.</w:t>
      </w:r>
    </w:p>
    <w:p>
      <w:r>
        <w:t>2. Liability cap. Skylark's paper caps their liability at fees paid in the prior 3 months. We have redlined to 12 months of fees and a super cap of 3x annual fees for data breach caused by Skylark's negligence, given SEC-2026-014 (which was our fault, but it showed the cost of an exposure). Skylark's counsel indicated 12 months is achievable, super cap is not.</w:t>
      </w:r>
    </w:p>
    <w:p>
      <w:r>
        <w:t>3. Data processing addendum. We need Skylark's updated DPA with the 2021 standard contractual clauses and the UK addendum, plus sub processor change notice of 30 days (currently 10). Also need commitment on India and Brazil regions for the residency roadmap; Skylark has Mumbai but Sao Paulo only in limited availability.</w:t>
      </w:r>
    </w:p>
    <w:p>
      <w:r>
        <w:t>4. Price protection. Added a clause that list price increases during the term do not apply to committed services. Skylark raised storage list prices 8% in April 2026 and our current contract did not protect us; that cost us roughly 140k this year.</w:t>
      </w:r>
    </w:p>
    <w:p>
      <w:r>
        <w:t>5. Termination for convenience. Skylark rejected any termination for convenience. We have proposed a narrower right to terminate if availability falls below 99.9% in two consecutive quarters. Fallback: service credits increase to 25% of monthly fees for those months.</w:t>
      </w:r>
    </w:p>
    <w:p>
      <w:pPr>
        <w:pStyle w:val="Heading2"/>
      </w:pPr>
      <w:r>
        <w:t>Redline excerpt (Section 9.2, Limitation of Liability)</w:t>
      </w:r>
    </w:p>
    <w:p>
      <w:r>
        <w:rPr>
          <w:rFonts w:ascii="Courier New" w:hAnsi="Courier New"/>
          <w:sz w:val="16"/>
        </w:rPr>
        <w:t>9.2  EXCEPT FOR OBLIGATIONS UNDER SECTION 7 (CONFIDENTIALITY), IN NO</w:t>
        <w:br/>
        <w:t xml:space="preserve">     EVENT SHALL EITHER PARTY'S AGGREGATE LIABILITY EXCEED THE FEES PAID</w:t>
        <w:br/>
        <w:t xml:space="preserve">     OR PAYABLE BY CUSTOMER IN THE [-THREE (3)-] [+TWELVE (12)+] MONTHS</w:t>
        <w:br/>
        <w:t xml:space="preserve">     PRECEDING THE EVENT GIVING RISE TO THE CLAIM[+; PROVIDED THAT FOR</w:t>
        <w:br/>
        <w:t xml:space="preserve">     CLAIMS ARISING FROM A SECURITY BREACH CAUSED BY PROVIDER'S BREACH OF</w:t>
        <w:br/>
        <w:t xml:space="preserve">     SECTION 8, SUCH LIMIT SHALL BE THREE (3) TIMES THE ANNUAL FEES+].</w:t>
      </w:r>
    </w:p>
    <w:p>
      <w:pPr>
        <w:pStyle w:val="Heading2"/>
      </w:pPr>
      <w:r>
        <w:t>Alternatives</w:t>
      </w:r>
    </w:p>
    <w:p>
      <w:r>
        <w:t>We received an indicative quote from a second provider at 29% off list for 3 years with 400k migration credits. Migration effort is estimated by Platform at 2 to 3 quarters of 6 engineers, roughly 1.1M in loaded cost plus risk during the Riptrace integration. The quote is useful as leverage but not a realistic option in 2027. Do NOT share the competing quote's numbers with Skylark directly; Raj will reference 'a competitive proposal in the high 20s'.</w:t>
      </w:r>
    </w:p>
    <w:p>
      <w:pPr>
        <w:pStyle w:val="Heading2"/>
      </w:pPr>
      <w:r>
        <w:t>Timeline</w:t>
      </w:r>
    </w:p>
    <w:tbl>
      <w:tblPr>
        <w:tblStyle w:val="LightGrid-Accent1"/>
        <w:tblW w:type="auto" w:w="0"/>
        <w:tblLook w:firstColumn="1" w:firstRow="1" w:lastColumn="0" w:lastRow="0" w:noHBand="0" w:noVBand="1" w:val="04A0"/>
      </w:tblPr>
      <w:tblGrid>
        <w:gridCol w:w="4320"/>
        <w:gridCol w:w="4320"/>
      </w:tblGrid>
      <w:tr>
        <w:tc>
          <w:tcPr>
            <w:tcW w:type="dxa" w:w="4320"/>
          </w:tcPr>
          <w:p>
            <w:r>
              <w:t>Date</w:t>
            </w:r>
          </w:p>
        </w:tc>
        <w:tc>
          <w:tcPr>
            <w:tcW w:type="dxa" w:w="4320"/>
          </w:tcPr>
          <w:p>
            <w:r>
              <w:t>Step</w:t>
            </w:r>
          </w:p>
        </w:tc>
      </w:tr>
      <w:tr>
        <w:tc>
          <w:tcPr>
            <w:tcW w:type="dxa" w:w="4320"/>
          </w:tcPr>
          <w:p>
            <w:r>
              <w:t>Oct 17</w:t>
            </w:r>
          </w:p>
        </w:tc>
        <w:tc>
          <w:tcPr>
            <w:tcW w:type="dxa" w:w="4320"/>
          </w:tcPr>
          <w:p>
            <w:r>
              <w:t>send v2 redline to Skylark</w:t>
            </w:r>
          </w:p>
        </w:tc>
      </w:tr>
      <w:tr>
        <w:tc>
          <w:tcPr>
            <w:tcW w:type="dxa" w:w="4320"/>
          </w:tcPr>
          <w:p>
            <w:r>
              <w:t>Oct 31</w:t>
            </w:r>
          </w:p>
        </w:tc>
        <w:tc>
          <w:tcPr>
            <w:tcW w:type="dxa" w:w="4320"/>
          </w:tcPr>
          <w:p>
            <w:r>
              <w:t>negotiation call, Raj + Skylark VP Sales</w:t>
            </w:r>
          </w:p>
        </w:tc>
      </w:tr>
      <w:tr>
        <w:tc>
          <w:tcPr>
            <w:tcW w:type="dxa" w:w="4320"/>
          </w:tcPr>
          <w:p>
            <w:r>
              <w:t>Nov 14</w:t>
            </w:r>
          </w:p>
        </w:tc>
        <w:tc>
          <w:tcPr>
            <w:tcW w:type="dxa" w:w="4320"/>
          </w:tcPr>
          <w:p>
            <w:r>
              <w:t>target agreement on commercial terms</w:t>
            </w:r>
          </w:p>
        </w:tc>
      </w:tr>
      <w:tr>
        <w:tc>
          <w:tcPr>
            <w:tcW w:type="dxa" w:w="4320"/>
          </w:tcPr>
          <w:p>
            <w:r>
              <w:t>Dec 5</w:t>
            </w:r>
          </w:p>
        </w:tc>
        <w:tc>
          <w:tcPr>
            <w:tcW w:type="dxa" w:w="4320"/>
          </w:tcPr>
          <w:p>
            <w:r>
              <w:t>signature, so it lands before their fiscal year end Dec 31 (leverage)</w:t>
            </w:r>
          </w:p>
        </w:tc>
      </w:tr>
    </w:tbl>
    <w:p/>
    <w:p>
      <w:r>
        <w:t>Skylark's fiscal year ends December 31 and their account team has told us informally they need this booked in Q4. That is our main leverage. If we let it slip into January we likely lose 2 to 3 points of discount.</w:t>
      </w:r>
    </w:p>
    <w:p>
      <w:r>
        <w:t>Open questions for Ana: can we live with 10 day sub processor notice if they give us the right to object? Is Enterprise support worth 180k if they won't include it? Arjun's view: support yes, we had 3 Sev 1 tickets this year with 6+ hour response on Business tier.</w:t>
      </w:r>
    </w:p>
    <w:p>
      <w:pPr>
        <w:pStyle w:val="Heading2"/>
      </w:pPr>
      <w:r>
        <w:t>Current spend by service (trailing 12 months)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Service</w:t>
            </w:r>
          </w:p>
        </w:tc>
        <w:tc>
          <w:tcPr>
            <w:tcW w:type="dxa" w:w="2160"/>
          </w:tcPr>
          <w:p>
            <w:r>
              <w:t>Spend ($k)</w:t>
            </w:r>
          </w:p>
        </w:tc>
        <w:tc>
          <w:tcPr>
            <w:tcW w:type="dxa" w:w="2160"/>
          </w:tcPr>
          <w:p>
            <w:r>
              <w:t>% of total</w:t>
            </w:r>
          </w:p>
        </w:tc>
        <w:tc>
          <w:tcPr>
            <w:tcW w:type="dxa" w:w="2160"/>
          </w:tcPr>
          <w:p>
            <w:r>
              <w:t>Notes</w:t>
            </w:r>
          </w:p>
        </w:tc>
      </w:tr>
      <w:tr>
        <w:tc>
          <w:tcPr>
            <w:tcW w:type="dxa" w:w="2160"/>
          </w:tcPr>
          <w:p>
            <w:r>
              <w:t>Compute (VMs + k8s)</w:t>
            </w:r>
          </w:p>
        </w:tc>
        <w:tc>
          <w:tcPr>
            <w:tcW w:type="dxa" w:w="2160"/>
          </w:tcPr>
          <w:p>
            <w:r>
              <w:t>1,840</w:t>
            </w:r>
          </w:p>
        </w:tc>
        <w:tc>
          <w:tcPr>
            <w:tcW w:type="dxa" w:w="2160"/>
          </w:tcPr>
          <w:p>
            <w:r>
              <w:t>56%</w:t>
            </w:r>
          </w:p>
        </w:tc>
        <w:tc>
          <w:tcPr>
            <w:tcW w:type="dxa" w:w="2160"/>
          </w:tcPr>
          <w:p>
            <w:r>
              <w:t>31% reserved</w:t>
            </w:r>
          </w:p>
        </w:tc>
      </w:tr>
      <w:tr>
        <w:tc>
          <w:tcPr>
            <w:tcW w:type="dxa" w:w="2160"/>
          </w:tcPr>
          <w:p>
            <w:r>
              <w:t>Object storage</w:t>
            </w:r>
          </w:p>
        </w:tc>
        <w:tc>
          <w:tcPr>
            <w:tcW w:type="dxa" w:w="2160"/>
          </w:tcPr>
          <w:p>
            <w:r>
              <w:t>610</w:t>
            </w:r>
          </w:p>
        </w:tc>
        <w:tc>
          <w:tcPr>
            <w:tcW w:type="dxa" w:w="2160"/>
          </w:tcPr>
          <w:p>
            <w:r>
              <w:t>18%</w:t>
            </w:r>
          </w:p>
        </w:tc>
        <w:tc>
          <w:tcPr>
            <w:tcW w:type="dxa" w:w="2160"/>
          </w:tcPr>
          <w:p>
            <w:r>
              <w:t>export buckets incl.</w:t>
            </w:r>
          </w:p>
        </w:tc>
      </w:tr>
      <w:tr>
        <w:tc>
          <w:tcPr>
            <w:tcW w:type="dxa" w:w="2160"/>
          </w:tcPr>
          <w:p>
            <w:r>
              <w:t>Managed Postgres</w:t>
            </w:r>
          </w:p>
        </w:tc>
        <w:tc>
          <w:tcPr>
            <w:tcW w:type="dxa" w:w="2160"/>
          </w:tcPr>
          <w:p>
            <w:r>
              <w:t>420</w:t>
            </w:r>
          </w:p>
        </w:tc>
        <w:tc>
          <w:tcPr>
            <w:tcW w:type="dxa" w:w="2160"/>
          </w:tcPr>
          <w:p>
            <w:r>
              <w:t>13%</w:t>
            </w:r>
          </w:p>
        </w:tc>
        <w:tc>
          <w:tcPr>
            <w:tcW w:type="dxa" w:w="2160"/>
          </w:tcPr>
          <w:p>
            <w:r>
              <w:t>control plane + metadata</w:t>
            </w:r>
          </w:p>
        </w:tc>
      </w:tr>
      <w:tr>
        <w:tc>
          <w:tcPr>
            <w:tcW w:type="dxa" w:w="2160"/>
          </w:tcPr>
          <w:p>
            <w:r>
              <w:t>Network egress</w:t>
            </w:r>
          </w:p>
        </w:tc>
        <w:tc>
          <w:tcPr>
            <w:tcW w:type="dxa" w:w="2160"/>
          </w:tcPr>
          <w:p>
            <w:r>
              <w:t>260</w:t>
            </w:r>
          </w:p>
        </w:tc>
        <w:tc>
          <w:tcPr>
            <w:tcW w:type="dxa" w:w="2160"/>
          </w:tcPr>
          <w:p>
            <w:r>
              <w:t>8%</w:t>
            </w:r>
          </w:p>
        </w:tc>
        <w:tc>
          <w:tcPr>
            <w:tcW w:type="dxa" w:w="2160"/>
          </w:tcPr>
          <w:p>
            <w:r>
              <w:t>spiked July (incident)</w:t>
            </w:r>
          </w:p>
        </w:tc>
      </w:tr>
      <w:tr>
        <w:tc>
          <w:tcPr>
            <w:tcW w:type="dxa" w:w="2160"/>
          </w:tcPr>
          <w:p>
            <w:r>
              <w:t>Other</w:t>
            </w:r>
          </w:p>
        </w:tc>
        <w:tc>
          <w:tcPr>
            <w:tcW w:type="dxa" w:w="2160"/>
          </w:tcPr>
          <w:p>
            <w:r>
              <w:t>170</w:t>
            </w:r>
          </w:p>
        </w:tc>
        <w:tc>
          <w:tcPr>
            <w:tcW w:type="dxa" w:w="2160"/>
          </w:tcPr>
          <w:p>
            <w:r>
              <w:t>5%</w:t>
            </w:r>
          </w:p>
        </w:tc>
        <w:tc>
          <w:tcPr>
            <w:tcW w:type="dxa" w:w="2160"/>
          </w:tcPr>
          <w:p>
            <w:r>
              <w:t>logging, KMS, DNS</w:t>
            </w:r>
          </w:p>
        </w:tc>
      </w:tr>
      <w:tr>
        <w:tc>
          <w:tcPr>
            <w:tcW w:type="dxa" w:w="2160"/>
          </w:tcPr>
          <w:p>
            <w:r>
              <w:t>Total</w:t>
            </w:r>
          </w:p>
        </w:tc>
        <w:tc>
          <w:tcPr>
            <w:tcW w:type="dxa" w:w="2160"/>
          </w:tcPr>
          <w:p>
            <w:r>
              <w:t>3,300</w:t>
            </w:r>
          </w:p>
        </w:tc>
        <w:tc>
          <w:tcPr>
            <w:tcW w:type="dxa" w:w="2160"/>
          </w:tcPr>
          <w:p>
            <w:r>
              <w:t>100%</w:t>
            </w:r>
          </w:p>
        </w:tc>
        <w:tc>
          <w:tcPr>
            <w:tcW w:type="dxa" w:w="2160"/>
          </w:tcPr>
          <w:p>
            <w:r/>
          </w:p>
        </w:tc>
      </w:tr>
    </w:tbl>
    <w:p/>
    <w:p>
      <w:r>
        <w:t>Skylark's account team has offered to waive the July egress spike (about 38k) as a goodwill gesture if we sign by December 5. Arjun recommends getting that in writing in the order form rather than as a side email.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Vendor Contract Redline Summary: Skylark Cloud Services MSA Renewal | v2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CONFIDENTIAL - Calloway Metrics,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