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CONFIDENTIAL - Calloway Metrics</w:t>
      </w:r>
    </w:p>
    <w:p>
      <w:pPr>
        <w:pStyle w:val="Heading1"/>
      </w:pPr>
      <w:r>
        <w:t>Engineering Design Doc: Tidewater Integration with Calloway Control Plane</w:t>
      </w:r>
    </w:p>
    <w:p>
      <w:r>
        <w:t>Version 0.4 DRAFT | Last updated Sep 30, 2026 | Owner: Platform Architecture (A. Novak, S. Iyer) | Distribution: platform-eng, sre-leads | Change note: capacity numbers from benchmark run 9/26</w:t>
      </w:r>
    </w:p>
    <w:p>
      <w:r>
        <w:t>CONFIDENTIAL. Platform Engineering. Status: draft for review. Authors: Platform Architecture group. This document describes how the Tidewater change data capture engine acquired from Ferrolake will be integrated into the Calloway control plane in 2027.</w:t>
      </w:r>
    </w:p>
    <w:p>
      <w:r>
        <w:t>Goals. Run Tidewater pipelines as first class tenants of the Calloway control plane. Achieve p50 end to end latency under 1.5 seconds and p99 under 6 seconds from warehouse commit to dashboard render. Reuse Calloway identity, billing and audit services. Retire Ferrolake's standalone Kubernetes clusters in eu-west by Q4 2027.</w:t>
      </w:r>
    </w:p>
    <w:p>
      <w:r>
        <w:t>Non goals. We will not rewrite the Tidewater log reader, which is written in Rust and performs well. We will not support on premises deployment in 2027. We will not support Oracle as a source until 2028.</w:t>
      </w:r>
    </w:p>
    <w:p>
      <w:r>
        <w:t>Architecture. Each customer stream is represented by a StreamSpec object stored in the control plane database. A new service, tidewater-operator, reconciles StreamSpecs into Tidewater worker deployments running in the shared data plane. Workers read from the source database replication log, transform change events into Arrow record batches, and publish them to a per tenant topic on our internal message bus, codenamed Conduit. The dashboard query engine subscribes to Conduit and applies incremental updates to materialized aggregates.</w:t>
      </w:r>
    </w:p>
    <w:p>
      <w:pPr>
        <w:pStyle w:val="ListBullet"/>
      </w:pPr>
      <w:r>
        <w:t>tidewater-operator: Go service, reconciles StreamSpec to worker deployments</w:t>
      </w:r>
    </w:p>
    <w:p>
      <w:pPr>
        <w:pStyle w:val="ListBullet"/>
      </w:pPr>
      <w:r>
        <w:t>tidewater-worker: existing Rust binary, packaged with the Calloway base image</w:t>
      </w:r>
    </w:p>
    <w:p>
      <w:pPr>
        <w:pStyle w:val="ListBullet"/>
      </w:pPr>
      <w:r>
        <w:t>Conduit: per tenant topics, 7 day retention, encrypted with customer managed keys where enabled</w:t>
      </w:r>
    </w:p>
    <w:p>
      <w:pPr>
        <w:pStyle w:val="ListBullet"/>
      </w:pPr>
      <w:r>
        <w:t>aggregate-updater: applies deltas to materialized views using merge on read</w:t>
      </w:r>
    </w:p>
    <w:p>
      <w:pPr>
        <w:pStyle w:val="ListBullet"/>
      </w:pPr>
      <w:r>
        <w:t>metering-sidecar: emits event counts to billing every 60 seconds</w:t>
      </w:r>
    </w:p>
    <w:p>
      <w:r>
        <w:t>Multi tenancy and security. Workers for different tenants never share a process. Each worker runs with a short lived workload identity credential scoped to a single tenant's source connection and Conduit topic. This directly addresses action item three from SEC-2026-014. Source credentials are stored in the tenant vault and are never written to pod environment variables.</w:t>
      </w:r>
    </w:p>
    <w:p>
      <w:r>
        <w:t>Capacity estimate. Ferrolake's largest customer produces 18,000 change events per second at peak. Benchmarks show a single worker with 2 vCPU sustains 25,000 events per second. For the expected 40 enterprise deployments by end of 2027, we estimate 220 worker pods at peak and a monthly compute cost of approximately 61,000 dollars.</w:t>
      </w:r>
    </w:p>
    <w:p>
      <w:r>
        <w:t>Migration plan. Phase 1 runs Tidewater unchanged in Ferrolake clusters with federation to our identity provider. Phase 2 moves new streams to the shared data plane. Phase 3 migrates existing Ferrolake customers during scheduled maintenance windows with dual write and checksum verification. Rollback for any stream is achieved by repointing the subscriber to the legacy cluster.</w:t>
      </w:r>
    </w:p>
    <w:p>
      <w:r>
        <w:t>Observability. Every worker exports lag, throughput and error metrics, and paging alerts are routed through the current SRE rotation only.</w:t>
      </w:r>
    </w:p>
    <w:p>
      <w:r>
        <w:t>Open questions. Should Conduit retention be configurable per tenant for regulated customers? Can aggregate-updater handle late arriving events older than 24 hours without full recompute? Who owns on call for the Rust worker after the Ferrolake engineers' retention period ends?</w:t>
      </w:r>
    </w:p>
    <w:p>
      <w:r>
        <w:t>Document control and handling. This document is classified CONFIDENTIAL under the Calloway Metrics Information Classification Policy. It may be stored only in approved company systems and must not be uploaded, pasted or summarized in external services, including consumer AI assistants, translation sites or personal email. Printed copies must be shredded after use. Report suspected disclosure to the Security team within one hour of discovery.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