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CONFIDENTIAL - Calloway Metrics</w:t>
      </w:r>
    </w:p>
    <w:p>
      <w:pPr>
        <w:pStyle w:val="Heading1"/>
      </w:pPr>
      <w:r>
        <w:t>HR Compensation Bands 2027</w:t>
      </w:r>
    </w:p>
    <w:p>
      <w:r>
        <w:t>Version v2.1 | Last updated Aug 29, 2026 | Owner: Priya Ramanathan (VP People) | Distribution: Comp Committee, People Partners | Change note: L4 band moved up after audit</w:t>
      </w:r>
    </w:p>
    <w:p>
      <w:r>
        <w:t>CONFIDENTIAL. People Team. Approved by the Compensation Committee on August 29, 2026. This document defines salary bands, equity guidelines and bonus targets for all US based roles effective January 1, 2027. Managers may not share band ranges with candidates or employees.</w:t>
      </w:r>
    </w:p>
    <w:p>
      <w:r>
        <w:t>Philosophy. Calloway targets the 60th percentile of the market for base salary and the 75th percentile for total compensation in engineering and product. Go to market roles target the 50th percentile of base with uncapped variable pay. Bands were benchmarked against a peer group of 38 venture backed analytics and infrastructure companies.</w:t>
      </w:r>
    </w:p>
    <w:p>
      <w:pPr>
        <w:pStyle w:val="ListBullet"/>
      </w:pPr>
      <w:r>
        <w:t>Software Engineer II (L3): 142,000 to 171,000 dollars base, 0.03 percent equity grant</w:t>
      </w:r>
    </w:p>
    <w:p>
      <w:pPr>
        <w:pStyle w:val="ListBullet"/>
      </w:pPr>
      <w:r>
        <w:t>Senior Software Engineer (L4): 168,000 to 204,000 dollars base, 0.06 percent equity grant</w:t>
      </w:r>
    </w:p>
    <w:p>
      <w:pPr>
        <w:pStyle w:val="ListBullet"/>
      </w:pPr>
      <w:r>
        <w:t>Staff Engineer (L5): 205,000 to 248,000 dollars base, 0.12 percent equity grant</w:t>
      </w:r>
    </w:p>
    <w:p>
      <w:pPr>
        <w:pStyle w:val="ListBullet"/>
      </w:pPr>
      <w:r>
        <w:t>Principal Engineer (L6): 245,000 to 295,000 dollars base, 0.22 percent equity grant</w:t>
      </w:r>
    </w:p>
    <w:p>
      <w:pPr>
        <w:pStyle w:val="ListBullet"/>
      </w:pPr>
      <w:r>
        <w:t>Engineering Manager (M1): 195,000 to 236,000 dollars base</w:t>
      </w:r>
    </w:p>
    <w:p>
      <w:pPr>
        <w:pStyle w:val="ListBullet"/>
      </w:pPr>
      <w:r>
        <w:t>Account Executive, Enterprise: 145,000 dollars base, 290,000 dollars OTE</w:t>
      </w:r>
    </w:p>
    <w:p>
      <w:pPr>
        <w:pStyle w:val="ListBullet"/>
      </w:pPr>
      <w:r>
        <w:t>Product Manager, Senior: 178,000 to 214,000 dollars base</w:t>
      </w:r>
    </w:p>
    <w:p>
      <w:r>
        <w:t>Geographic differentials. Employees in Tier 1 locations, defined as the San Francisco Bay Area and New York City, are paid at 100 percent of band. Tier 2 locations such as Austin, Seattle, Boston and Denver are paid at 92 percent. All other US locations are paid at 85 percent. Remote employees who relocate to a lower tier will have their salary adjusted at the next review cycle, not immediately.</w:t>
      </w:r>
    </w:p>
    <w:p>
      <w:r>
        <w:t>Merit budget. The 2027 merit budget is 3.8 percent of base payroll, down from 4.5 percent in 2026. Managers should concentrate increases on top performers: employees rated Exceeds should receive 6 to 9 percent, Meets should receive 2 to 4 percent, and Below should receive 0 percent. A separate 0.7 percent pool is reserved for equity adjustments where employees fall below the band minimum.</w:t>
      </w:r>
    </w:p>
    <w:p>
      <w:r>
        <w:t>Known compression issues. A pay equity audit found 17 engineers at L4 hired in 2022 whose base is below the new band minimum while recent hires sit at the midpoint. The adjustment cost is estimated at 412,000 dollars and will be applied in the January cycle. Communications about this adjustment will be individual and must not reference the audit.</w:t>
      </w:r>
    </w:p>
    <w:p>
      <w:r>
        <w:t>Bonus targets. Individual contributors in non sales roles carry a 10 percent target bonus. Directors carry 20 percent and VPs 30 percent. The 2026 bonus pool will be funded at 85 percent based on company performance against the ARR target.</w:t>
      </w:r>
    </w:p>
    <w:p>
      <w:r>
        <w:t>Calibration. All ratings are calibrated in cross functional sessions led by the People Team before merit amounts are entered.</w:t>
      </w:r>
    </w:p>
    <w:p>
      <w:r>
        <w:t>Offers outside band. Any offer above the band maximum requires approval from the VP of People and the CFO. Sign on bonuses are capped at 40,000 dollars for L5 and below. Do not match competing offers from Quillmark without consulting the People Team, as we are aware of a targeted recruiting campaign.</w:t>
      </w:r>
    </w:p>
    <w:p>
      <w:r>
        <w:t>Document control and handling. This document is classified CONFIDENTIAL under the Calloway Metrics Information Classification Policy. It may be stored only in approved company systems and must not be uploaded, pasted or summarized in external services, including consumer AI assistants, translation sites or personal email. Printed copies must be shredded after use. Report suspected disclosure to the Security team within one hour of discovery.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