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CONFIDENTIAL - Calloway Metrics</w:t>
      </w:r>
    </w:p>
    <w:p>
      <w:pPr>
        <w:pStyle w:val="Heading1"/>
      </w:pPr>
      <w:r>
        <w:t>Term Sheet: Acquisition of Ferrolake Data Systems B.V.</w:t>
      </w:r>
    </w:p>
    <w:p>
      <w:r>
        <w:t>Version Draft 4 (Buyer comments) | Last updated Oct 2, 2026 | Owner: L. Brandt (GC) / Halvorsen Partners | Distribution: Deal team only | Change note: escrow 10%, W&amp;I added</w:t>
      </w:r>
    </w:p>
    <w:p>
      <w:r>
        <w:t>CONFIDENTIAL AND NON BINDING. This term sheet summarizes the principal terms of the proposed acquisition of Ferrolake Data Systems B.V. (the Company) by Calloway Metrics, Inc. (the Buyer). Except for the sections titled Exclusivity, Confidentiality and Governing Law, this term sheet is not legally binding. Dated October 2, 2026.</w:t>
      </w:r>
    </w:p>
    <w:p>
      <w:r>
        <w:t>Transaction. The Buyer will acquire 100 percent of the issued share capital of the Company on a cash free, debt free basis with a normalized level of working capital. The total consideration is up to 41.5 million US dollars, consisting of a cash payment, Buyer common stock, and contingent earnout payments.</w:t>
      </w:r>
    </w:p>
    <w:p>
      <w:pPr>
        <w:pStyle w:val="ListBullet"/>
      </w:pPr>
      <w:r>
        <w:t>Closing cash consideration: 24,000,000 dollars, subject to working capital adjustment</w:t>
      </w:r>
    </w:p>
    <w:p>
      <w:pPr>
        <w:pStyle w:val="ListBullet"/>
      </w:pPr>
      <w:r>
        <w:t>Stock consideration: 625,000 shares of Buyer common stock, valued at 18.40 dollars per share</w:t>
      </w:r>
    </w:p>
    <w:p>
      <w:pPr>
        <w:pStyle w:val="ListBullet"/>
      </w:pPr>
      <w:r>
        <w:t>Earnout: up to 6,000,000 dollars upon achievement of 40 enterprise deployments of the Tidewater product by December 31, 2027</w:t>
      </w:r>
    </w:p>
    <w:p>
      <w:pPr>
        <w:pStyle w:val="ListBullet"/>
      </w:pPr>
      <w:r>
        <w:t>Escrow: 10 percent of closing cash held for 18 months against indemnity claims</w:t>
      </w:r>
    </w:p>
    <w:p>
      <w:pPr>
        <w:pStyle w:val="ListBullet"/>
      </w:pPr>
      <w:r>
        <w:t>Employee retention pool: 3,200,000 dollars in Buyer restricted stock units</w:t>
      </w:r>
    </w:p>
    <w:p>
      <w:r>
        <w:t>Conditions to closing. Closing is conditional on satisfactory completion of confirmatory due diligence, completion of the consultation process with the Company works council, consent of the Company's two largest customers under their change of control provisions, execution of employment agreements by the Chief Technology Officer and at least 10 of the 12 identified key employees, and absence of a material adverse change.</w:t>
      </w:r>
    </w:p>
    <w:p>
      <w:r>
        <w:t>Representations and warranties. The sellers will give customary warranties regarding title, capitalization, intellectual property, open source compliance, data protection, tax and material contracts. The Buyer will obtain warranty and indemnity insurance with a policy limit of 4,150,000 dollars. The sellers' liability for general warranty claims is capped at 10 percent of the purchase price, with fundamental warranties capped at the full purchase price.</w:t>
      </w:r>
    </w:p>
    <w:p>
      <w:r>
        <w:t>Exclusivity. For 45 days from signing, the Company and its shareholders will not solicit, encourage or negotiate any alternative acquisition proposal. If the Company breaches exclusivity or withdraws from the transaction without cause, it will pay the Buyer a break fee of 1,500,000 dollars.</w:t>
      </w:r>
    </w:p>
    <w:p>
      <w:r>
        <w:t>Non compete. The founders will agree to a non compete and non solicit covenant of 24 months following closing, covering streaming data ingestion products in Europe and North America.</w:t>
      </w:r>
    </w:p>
    <w:p>
      <w:r>
        <w:t>Employees and works council. The Buyer intends to offer employment to all Company employees on terms no less favorable in the aggregate than their current terms for at least 12 months after closing, except for the roles identified in the integration plan. The Company will initiate the works council advice procedure within 5 business days of signing and the parties will cooperate in good faith to obtain a positive advice.</w:t>
      </w:r>
    </w:p>
    <w:p>
      <w:r>
        <w:t>Confidentiality. The existence and terms of this term sheet are confidential and may be disclosed only to the parties' advisors. Governing law: Delaware, except for share transfer formalities, which are governed by Dutch law. Target signing of definitive agreements: December 15, 2026.</w:t>
      </w:r>
    </w:p>
    <w:p>
      <w:r>
        <w:t>Document control and handling. This document is classified CONFIDENTIAL under the Calloway Metrics Information Classification Policy. It may be stored only in approved company systems and must not be uploaded, pasted or summarized in external services, including consumer AI assistants, translation sites or personal email. Printed copies must be shredded after use. Report suspected disclosure to the Security team within one hour of discovery.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