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95E9830" w:rsidR="002B306B" w:rsidRDefault="00000000">
      <w:pPr>
        <w:pStyle w:val="Heading1"/>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Market Intelligence Research Brief</w:t>
      </w:r>
      <w:r w:rsidR="00340788">
        <w:rPr>
          <w:rFonts w:ascii="Google Sans" w:eastAsia="Google Sans" w:hAnsi="Google Sans" w:cs="Google Sans"/>
          <w:color w:val="1F1F1F"/>
        </w:rPr>
        <w:t xml:space="preserve"> -Technology M&amp;A Integration</w:t>
      </w:r>
    </w:p>
    <w:p w14:paraId="00000002" w14:textId="4B39EF2D" w:rsidR="002B306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Student Name:</w:t>
      </w:r>
      <w:r>
        <w:rPr>
          <w:rFonts w:ascii="Google Sans" w:eastAsia="Google Sans" w:hAnsi="Google Sans" w:cs="Google Sans"/>
          <w:color w:val="1F1F1F"/>
        </w:rPr>
        <w:t xml:space="preserve"> </w:t>
      </w:r>
      <w:r w:rsidR="001E75B0">
        <w:rPr>
          <w:rFonts w:ascii="Google Sans" w:eastAsia="Google Sans" w:hAnsi="Google Sans" w:cs="Google Sans"/>
          <w:color w:val="1F1F1F"/>
        </w:rPr>
        <w:t>Sandeep Sitaram</w:t>
      </w:r>
    </w:p>
    <w:p w14:paraId="00000003" w14:textId="420CB254" w:rsidR="002B306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Date:</w:t>
      </w:r>
      <w:r>
        <w:rPr>
          <w:rFonts w:ascii="Google Sans" w:eastAsia="Google Sans" w:hAnsi="Google Sans" w:cs="Google Sans"/>
          <w:color w:val="1F1F1F"/>
        </w:rPr>
        <w:t xml:space="preserve"> </w:t>
      </w:r>
      <w:r w:rsidR="001E75B0">
        <w:rPr>
          <w:rFonts w:ascii="Google Sans" w:eastAsia="Google Sans" w:hAnsi="Google Sans" w:cs="Google Sans"/>
          <w:color w:val="1F1F1F"/>
        </w:rPr>
        <w:t>9/2</w:t>
      </w:r>
      <w:r w:rsidR="00EB177C">
        <w:rPr>
          <w:rFonts w:ascii="Google Sans" w:eastAsia="Google Sans" w:hAnsi="Google Sans" w:cs="Google Sans"/>
          <w:color w:val="1F1F1F"/>
        </w:rPr>
        <w:t>3</w:t>
      </w:r>
      <w:r w:rsidR="001E75B0">
        <w:rPr>
          <w:rFonts w:ascii="Google Sans" w:eastAsia="Google Sans" w:hAnsi="Google Sans" w:cs="Google Sans"/>
          <w:color w:val="1F1F1F"/>
        </w:rPr>
        <w:t>/2026</w:t>
      </w:r>
    </w:p>
    <w:p w14:paraId="00000004" w14:textId="4037EAD0" w:rsidR="002B306B" w:rsidRDefault="00000000">
      <w:pPr>
        <w:pBdr>
          <w:top w:val="nil"/>
          <w:left w:val="nil"/>
          <w:bottom w:val="nil"/>
          <w:right w:val="nil"/>
          <w:between w:val="nil"/>
        </w:pBdr>
        <w:spacing w:after="240" w:line="275" w:lineRule="auto"/>
        <w:rPr>
          <w:rFonts w:ascii="Google Sans" w:eastAsia="Google Sans" w:hAnsi="Google Sans" w:cs="Google Sans"/>
          <w:color w:val="1F1F1F"/>
        </w:rPr>
      </w:pPr>
      <w:r>
        <w:rPr>
          <w:rFonts w:ascii="Google Sans" w:eastAsia="Google Sans" w:hAnsi="Google Sans" w:cs="Google Sans"/>
          <w:b/>
          <w:bCs/>
          <w:color w:val="1F1F1F"/>
        </w:rPr>
        <w:t>Topic:</w:t>
      </w:r>
      <w:r>
        <w:rPr>
          <w:rFonts w:ascii="Google Sans" w:eastAsia="Google Sans" w:hAnsi="Google Sans" w:cs="Google Sans"/>
          <w:color w:val="1F1F1F"/>
        </w:rPr>
        <w:t xml:space="preserve"> </w:t>
      </w:r>
      <w:r w:rsidR="00340788">
        <w:rPr>
          <w:rFonts w:ascii="Google Sans" w:eastAsia="Google Sans" w:hAnsi="Google Sans" w:cs="Google Sans"/>
          <w:color w:val="1F1F1F"/>
        </w:rPr>
        <w:t>Technology M&amp;A Integration</w:t>
      </w:r>
    </w:p>
    <w:p w14:paraId="00000005" w14:textId="77777777" w:rsidR="002B306B" w:rsidRDefault="00000000">
      <w:pPr>
        <w:pStyle w:val="Heading2"/>
        <w:spacing w:before="120" w:after="120" w:line="275" w:lineRule="auto"/>
        <w:rPr>
          <w:rFonts w:ascii="Google Sans" w:eastAsia="Google Sans" w:hAnsi="Google Sans" w:cs="Google Sans"/>
          <w:color w:val="1F1F1F"/>
        </w:rPr>
      </w:pPr>
      <w:r>
        <w:pict w14:anchorId="27CB2C34">
          <v:rect id="_x0000_i1025" style="width:0;height:1.5pt" o:hralign="center" o:hrstd="t" o:hr="t" fillcolor="#a0a0a0" stroked="f"/>
        </w:pict>
      </w:r>
      <w:r>
        <w:rPr>
          <w:rFonts w:ascii="Google Sans" w:eastAsia="Google Sans" w:hAnsi="Google Sans" w:cs="Google Sans"/>
          <w:color w:val="1F1F1F"/>
        </w:rPr>
        <w:t>1. Research Objective</w:t>
      </w:r>
    </w:p>
    <w:p w14:paraId="35B377DF" w14:textId="5606859D" w:rsidR="00EB177C" w:rsidRDefault="00EB177C">
      <w:pPr>
        <w:pBdr>
          <w:top w:val="nil"/>
          <w:left w:val="nil"/>
          <w:bottom w:val="nil"/>
          <w:right w:val="nil"/>
          <w:between w:val="nil"/>
        </w:pBdr>
        <w:spacing w:after="240" w:line="275" w:lineRule="auto"/>
        <w:rPr>
          <w:rFonts w:ascii="Google Sans" w:eastAsia="Google Sans" w:hAnsi="Google Sans" w:cs="Google Sans"/>
          <w:i/>
          <w:iCs/>
          <w:color w:val="1F1F1F"/>
        </w:rPr>
      </w:pPr>
      <w:r w:rsidRPr="00EB177C">
        <w:rPr>
          <w:rFonts w:ascii="Google Sans" w:eastAsia="Google Sans" w:hAnsi="Google Sans" w:cs="Google Sans"/>
          <w:i/>
          <w:iCs/>
          <w:color w:val="1F1F1F"/>
        </w:rPr>
        <w:t>Evaluate technology-sector mergers and acquisitions to identify the acquisition strategies, governance practices, leadership characteristics, and technology integration trends that most influence post-merger value creation and integration success. The research is intended to support executive decision-making related to acquisition planning, technology due diligence, integration strategy, risk mitigation, and long-term value realization.</w:t>
      </w:r>
    </w:p>
    <w:p w14:paraId="00000008" w14:textId="77777777" w:rsidR="002B306B" w:rsidRDefault="00000000">
      <w:pPr>
        <w:pStyle w:val="Heading2"/>
        <w:spacing w:before="120" w:after="120" w:line="275" w:lineRule="auto"/>
        <w:rPr>
          <w:rFonts w:ascii="Google Sans" w:eastAsia="Google Sans" w:hAnsi="Google Sans" w:cs="Google Sans"/>
          <w:color w:val="1F1F1F"/>
        </w:rPr>
      </w:pPr>
      <w:r>
        <w:pict w14:anchorId="4F9ED689">
          <v:rect id="_x0000_i1026" style="width:0;height:1.5pt" o:hralign="center" o:hrstd="t" o:hr="t" fillcolor="#a0a0a0" stroked="f"/>
        </w:pict>
      </w:r>
      <w:r>
        <w:rPr>
          <w:rFonts w:ascii="Google Sans" w:eastAsia="Google Sans" w:hAnsi="Google Sans" w:cs="Google Sans"/>
          <w:color w:val="1F1F1F"/>
        </w:rPr>
        <w:t>2. Scope of Research</w:t>
      </w:r>
    </w:p>
    <w:p w14:paraId="788F580B" w14:textId="427D7DF9" w:rsidR="00EB177C" w:rsidRDefault="00EB177C" w:rsidP="00EB177C">
      <w:pPr>
        <w:pStyle w:val="NormalWeb"/>
        <w:numPr>
          <w:ilvl w:val="0"/>
          <w:numId w:val="1"/>
        </w:numPr>
        <w:spacing w:line="300" w:lineRule="atLeast"/>
        <w:rPr>
          <w:rFonts w:ascii="Segoe UI" w:hAnsi="Segoe UI" w:cs="Segoe UI"/>
          <w:sz w:val="21"/>
          <w:szCs w:val="21"/>
        </w:rPr>
      </w:pPr>
      <w:r>
        <w:rPr>
          <w:rFonts w:ascii="Segoe UI" w:hAnsi="Segoe UI" w:cs="Segoe UI"/>
          <w:sz w:val="21"/>
          <w:szCs w:val="21"/>
        </w:rPr>
        <w:t xml:space="preserve"> </w:t>
      </w:r>
      <w:r>
        <w:rPr>
          <w:rStyle w:val="Strong"/>
          <w:rFonts w:ascii="Segoe UI" w:hAnsi="Segoe UI" w:cs="Segoe UI"/>
          <w:sz w:val="21"/>
          <w:szCs w:val="21"/>
        </w:rPr>
        <w:t>Markets or industries covered:</w:t>
      </w:r>
      <w:r>
        <w:rPr>
          <w:rFonts w:ascii="Segoe UI" w:hAnsi="Segoe UI" w:cs="Segoe UI"/>
          <w:sz w:val="21"/>
          <w:szCs w:val="21"/>
        </w:rPr>
        <w:t xml:space="preserve"> Technology sector mergers and acquisitions, including enterprise software, cloud computing, cybersecurity, telecommunications, networking, digital platforms, and internet-based technology companies. The analysis focuses on acquisition activity among major global technology organizations and the companies they acquired.</w:t>
      </w:r>
    </w:p>
    <w:p w14:paraId="2E3190A3" w14:textId="28467284" w:rsidR="00EB177C" w:rsidRDefault="00EB177C" w:rsidP="00EB177C">
      <w:pPr>
        <w:pStyle w:val="NormalWeb"/>
        <w:numPr>
          <w:ilvl w:val="0"/>
          <w:numId w:val="1"/>
        </w:numPr>
        <w:spacing w:line="300" w:lineRule="atLeast"/>
        <w:rPr>
          <w:rFonts w:ascii="Segoe UI" w:hAnsi="Segoe UI" w:cs="Segoe UI"/>
          <w:sz w:val="21"/>
          <w:szCs w:val="21"/>
        </w:rPr>
      </w:pPr>
      <w:r>
        <w:rPr>
          <w:rStyle w:val="Strong"/>
          <w:rFonts w:ascii="Segoe UI" w:hAnsi="Segoe UI" w:cs="Segoe UI"/>
          <w:sz w:val="21"/>
          <w:szCs w:val="21"/>
        </w:rPr>
        <w:t>Competitor types included:</w:t>
      </w:r>
      <w:r>
        <w:rPr>
          <w:rFonts w:ascii="Segoe UI" w:hAnsi="Segoe UI" w:cs="Segoe UI"/>
          <w:sz w:val="21"/>
          <w:szCs w:val="21"/>
        </w:rPr>
        <w:t xml:space="preserve"> </w:t>
      </w:r>
      <w:proofErr w:type="gramStart"/>
      <w:r>
        <w:rPr>
          <w:rFonts w:ascii="Segoe UI" w:hAnsi="Segoe UI" w:cs="Segoe UI"/>
          <w:sz w:val="21"/>
          <w:szCs w:val="21"/>
        </w:rPr>
        <w:t>Large</w:t>
      </w:r>
      <w:proofErr w:type="gramEnd"/>
      <w:r>
        <w:rPr>
          <w:rFonts w:ascii="Segoe UI" w:hAnsi="Segoe UI" w:cs="Segoe UI"/>
          <w:sz w:val="21"/>
          <w:szCs w:val="21"/>
        </w:rPr>
        <w:t xml:space="preserve"> technology acquirers (e.g., enterprise software providers, cloud platform companies, telecommunications firms, networking companies, and digital platform providers), acquisition targets, and consulting firms influencing technology integration practices, including Accenture, Deloitte, PwC, IBM Consulting, KPMG, Cognizant, and TCS.</w:t>
      </w:r>
    </w:p>
    <w:p w14:paraId="3E8693C2" w14:textId="4832D96B" w:rsidR="00EB177C" w:rsidRDefault="00EB177C" w:rsidP="00EB177C">
      <w:pPr>
        <w:pStyle w:val="NormalWeb"/>
        <w:numPr>
          <w:ilvl w:val="0"/>
          <w:numId w:val="1"/>
        </w:numPr>
        <w:spacing w:line="300" w:lineRule="atLeast"/>
        <w:rPr>
          <w:rFonts w:ascii="Segoe UI" w:hAnsi="Segoe UI" w:cs="Segoe UI"/>
          <w:sz w:val="21"/>
          <w:szCs w:val="21"/>
        </w:rPr>
      </w:pPr>
      <w:r>
        <w:rPr>
          <w:rStyle w:val="Strong"/>
          <w:rFonts w:ascii="Segoe UI" w:hAnsi="Segoe UI" w:cs="Segoe UI"/>
          <w:sz w:val="21"/>
          <w:szCs w:val="21"/>
        </w:rPr>
        <w:t>Timeframe considered:</w:t>
      </w:r>
      <w:r>
        <w:rPr>
          <w:rFonts w:ascii="Segoe UI" w:hAnsi="Segoe UI" w:cs="Segoe UI"/>
          <w:sz w:val="21"/>
          <w:szCs w:val="21"/>
        </w:rPr>
        <w:t xml:space="preserve"> Historical acquisition activity contained within the dataset combined with external market intelligence and technology integration trends from approximately 2020–2026 to provide current context for M&amp;A and post-merger integration practices.</w:t>
      </w:r>
    </w:p>
    <w:p w14:paraId="4BDF4B73" w14:textId="0CE40395" w:rsidR="00EB177C" w:rsidRDefault="00EB177C" w:rsidP="00EB177C">
      <w:pPr>
        <w:pStyle w:val="NormalWeb"/>
        <w:numPr>
          <w:ilvl w:val="0"/>
          <w:numId w:val="1"/>
        </w:numPr>
        <w:spacing w:line="300" w:lineRule="atLeast"/>
        <w:rPr>
          <w:rFonts w:ascii="Segoe UI" w:hAnsi="Segoe UI" w:cs="Segoe UI"/>
          <w:sz w:val="21"/>
          <w:szCs w:val="21"/>
        </w:rPr>
      </w:pPr>
      <w:r>
        <w:rPr>
          <w:rStyle w:val="Strong"/>
          <w:rFonts w:ascii="Segoe UI" w:hAnsi="Segoe UI" w:cs="Segoe UI"/>
          <w:sz w:val="21"/>
          <w:szCs w:val="21"/>
        </w:rPr>
        <w:t>Key constraints (e.g., limited research hours):</w:t>
      </w:r>
      <w:r>
        <w:rPr>
          <w:rFonts w:ascii="Segoe UI" w:hAnsi="Segoe UI" w:cs="Segoe UI"/>
          <w:sz w:val="21"/>
          <w:szCs w:val="21"/>
        </w:rPr>
        <w:t xml:space="preserve"> Analysis is limited to the technology companies and acquisition transactions available in the dataset. The dataset does not directly measure post-merger integration outcomes or financial performance following acquisitions. Research was conducted using a limited allocation of Quick Research resources and publicly available market signals rather than proprietary consulting or investment banking data.</w:t>
      </w:r>
    </w:p>
    <w:p w14:paraId="4E415904" w14:textId="77777777" w:rsidR="00EB177C" w:rsidRPr="00EB177C" w:rsidRDefault="00EB177C" w:rsidP="00EB177C">
      <w:pPr>
        <w:pBdr>
          <w:top w:val="nil"/>
          <w:left w:val="nil"/>
          <w:bottom w:val="nil"/>
          <w:right w:val="nil"/>
          <w:between w:val="nil"/>
        </w:pBdr>
        <w:spacing w:after="120" w:line="275" w:lineRule="auto"/>
        <w:ind w:left="465"/>
      </w:pPr>
    </w:p>
    <w:p w14:paraId="208C980A" w14:textId="77777777" w:rsidR="00EB177C" w:rsidRDefault="00EB177C" w:rsidP="00EB177C">
      <w:pPr>
        <w:pBdr>
          <w:top w:val="nil"/>
          <w:left w:val="nil"/>
          <w:bottom w:val="nil"/>
          <w:right w:val="nil"/>
          <w:between w:val="nil"/>
        </w:pBdr>
        <w:spacing w:after="120" w:line="275" w:lineRule="auto"/>
        <w:ind w:left="465"/>
      </w:pPr>
    </w:p>
    <w:p w14:paraId="0000000E" w14:textId="77777777" w:rsidR="002B306B" w:rsidRDefault="00000000">
      <w:pPr>
        <w:pStyle w:val="Heading2"/>
        <w:spacing w:before="120" w:after="120" w:line="275" w:lineRule="auto"/>
        <w:rPr>
          <w:rFonts w:ascii="Google Sans" w:eastAsia="Google Sans" w:hAnsi="Google Sans" w:cs="Google Sans"/>
          <w:color w:val="1F1F1F"/>
        </w:rPr>
      </w:pPr>
      <w:r>
        <w:pict w14:anchorId="50A7D485">
          <v:rect id="_x0000_i1027" style="width:0;height:1.5pt" o:hralign="center" o:hrstd="t" o:hr="t" fillcolor="#a0a0a0" stroked="f"/>
        </w:pict>
      </w:r>
      <w:r>
        <w:rPr>
          <w:rFonts w:ascii="Google Sans" w:eastAsia="Google Sans" w:hAnsi="Google Sans" w:cs="Google Sans"/>
          <w:color w:val="1F1F1F"/>
        </w:rPr>
        <w:t>3. Research Approach</w:t>
      </w:r>
    </w:p>
    <w:p w14:paraId="2EF5E0D8" w14:textId="59E7631E" w:rsidR="00EB177C" w:rsidRDefault="00EB177C" w:rsidP="00EB177C">
      <w:pPr>
        <w:pStyle w:val="NormalWeb"/>
        <w:numPr>
          <w:ilvl w:val="0"/>
          <w:numId w:val="2"/>
        </w:numPr>
        <w:spacing w:line="300" w:lineRule="atLeast"/>
        <w:rPr>
          <w:rFonts w:ascii="Segoe UI" w:hAnsi="Segoe UI" w:cs="Segoe UI"/>
          <w:sz w:val="21"/>
          <w:szCs w:val="21"/>
        </w:rPr>
      </w:pPr>
      <w:r>
        <w:rPr>
          <w:rFonts w:ascii="Segoe UI" w:hAnsi="Segoe UI" w:cs="Segoe UI"/>
          <w:sz w:val="21"/>
          <w:szCs w:val="21"/>
        </w:rPr>
        <w:t xml:space="preserve"> </w:t>
      </w:r>
      <w:r>
        <w:rPr>
          <w:rStyle w:val="Strong"/>
          <w:rFonts w:ascii="Segoe UI" w:hAnsi="Segoe UI" w:cs="Segoe UI"/>
          <w:sz w:val="21"/>
          <w:szCs w:val="21"/>
        </w:rPr>
        <w:t>Types of questions asked:</w:t>
      </w:r>
      <w:r>
        <w:rPr>
          <w:rFonts w:ascii="Segoe UI" w:hAnsi="Segoe UI" w:cs="Segoe UI"/>
          <w:sz w:val="21"/>
          <w:szCs w:val="21"/>
        </w:rPr>
        <w:t xml:space="preserve"> Questions focused on acquisition patterns, characteristics of highly acquisitive technology companies, target company profiles, governance and leadership influences, technology integration trends, post-merger integration challenges, cloud modernization priorities, cybersecurity considerations, value-creation approaches, and factors associated with successful mergers and acquisitions.</w:t>
      </w:r>
    </w:p>
    <w:p w14:paraId="29BF7B16" w14:textId="52A771ED" w:rsidR="00EB177C" w:rsidRDefault="00EB177C" w:rsidP="00EB177C">
      <w:pPr>
        <w:pStyle w:val="NormalWeb"/>
        <w:numPr>
          <w:ilvl w:val="0"/>
          <w:numId w:val="2"/>
        </w:numPr>
        <w:spacing w:line="300" w:lineRule="atLeast"/>
        <w:rPr>
          <w:rFonts w:ascii="Segoe UI" w:hAnsi="Segoe UI" w:cs="Segoe UI"/>
          <w:sz w:val="21"/>
          <w:szCs w:val="21"/>
        </w:rPr>
      </w:pPr>
      <w:r>
        <w:rPr>
          <w:rStyle w:val="Strong"/>
          <w:rFonts w:ascii="Segoe UI" w:hAnsi="Segoe UI" w:cs="Segoe UI"/>
          <w:sz w:val="21"/>
          <w:szCs w:val="21"/>
        </w:rPr>
        <w:t>How research effort was prioritized:</w:t>
      </w:r>
      <w:r>
        <w:rPr>
          <w:rFonts w:ascii="Segoe UI" w:hAnsi="Segoe UI" w:cs="Segoe UI"/>
          <w:sz w:val="21"/>
          <w:szCs w:val="21"/>
        </w:rPr>
        <w:t xml:space="preserve"> Research was conducted in two phases. First, internal analysis </w:t>
      </w:r>
      <w:r>
        <w:rPr>
          <w:rFonts w:ascii="Segoe UI" w:hAnsi="Segoe UI" w:cs="Segoe UI"/>
          <w:sz w:val="21"/>
          <w:szCs w:val="21"/>
        </w:rPr>
        <w:t>focuses</w:t>
      </w:r>
      <w:r>
        <w:rPr>
          <w:rFonts w:ascii="Segoe UI" w:hAnsi="Segoe UI" w:cs="Segoe UI"/>
          <w:sz w:val="21"/>
          <w:szCs w:val="21"/>
        </w:rPr>
        <w:t xml:space="preserve"> on identifying acquisition activity trends, acquiring company characteristics, acquisition targets, and founder/board governance patterns using the uploaded datasets. Second, external research was prioritized around technology integration trends, post-merger risks, governance practices, and value-creation strategies to validate and enrich dataset findings. Research efforts were concentrated on signals most relevant to executive decision-making and post-merger integration success.</w:t>
      </w:r>
    </w:p>
    <w:p w14:paraId="31E1D2CF" w14:textId="314481C8" w:rsidR="00EB177C" w:rsidRDefault="00EB177C" w:rsidP="00EB177C">
      <w:pPr>
        <w:pStyle w:val="NormalWeb"/>
        <w:numPr>
          <w:ilvl w:val="0"/>
          <w:numId w:val="2"/>
        </w:numPr>
        <w:spacing w:line="300" w:lineRule="atLeast"/>
        <w:rPr>
          <w:rFonts w:ascii="Segoe UI" w:hAnsi="Segoe UI" w:cs="Segoe UI"/>
          <w:sz w:val="21"/>
          <w:szCs w:val="21"/>
        </w:rPr>
      </w:pPr>
      <w:r>
        <w:rPr>
          <w:rFonts w:ascii="Segoe UI" w:hAnsi="Segoe UI" w:cs="Segoe UI"/>
          <w:sz w:val="21"/>
          <w:szCs w:val="21"/>
        </w:rPr>
        <w:t xml:space="preserve"> </w:t>
      </w:r>
      <w:r>
        <w:rPr>
          <w:rStyle w:val="Strong"/>
          <w:rFonts w:ascii="Segoe UI" w:hAnsi="Segoe UI" w:cs="Segoe UI"/>
          <w:sz w:val="21"/>
          <w:szCs w:val="21"/>
        </w:rPr>
        <w:t>Tools used within Amazon Quick Suite:</w:t>
      </w:r>
      <w:r>
        <w:rPr>
          <w:rFonts w:ascii="Segoe UI" w:hAnsi="Segoe UI" w:cs="Segoe UI"/>
          <w:sz w:val="21"/>
          <w:szCs w:val="21"/>
        </w:rPr>
        <w:t xml:space="preserve"> Amazon </w:t>
      </w:r>
      <w:r>
        <w:rPr>
          <w:rFonts w:ascii="Segoe UI" w:hAnsi="Segoe UI" w:cs="Segoe UI"/>
          <w:sz w:val="21"/>
          <w:szCs w:val="21"/>
        </w:rPr>
        <w:t>Quick Suite</w:t>
      </w:r>
      <w:r>
        <w:rPr>
          <w:rFonts w:ascii="Segoe UI" w:hAnsi="Segoe UI" w:cs="Segoe UI"/>
          <w:sz w:val="21"/>
          <w:szCs w:val="21"/>
        </w:rPr>
        <w:t xml:space="preserve"> Spaces were used to organize project assets and research outputs. A custom </w:t>
      </w:r>
      <w:r>
        <w:rPr>
          <w:rStyle w:val="Strong"/>
          <w:rFonts w:ascii="Segoe UI" w:hAnsi="Segoe UI" w:cs="Segoe UI"/>
          <w:sz w:val="21"/>
          <w:szCs w:val="21"/>
        </w:rPr>
        <w:t>Market Intelligence Agent – Technology M&amp;A Integration</w:t>
      </w:r>
      <w:r>
        <w:rPr>
          <w:rFonts w:ascii="Segoe UI" w:hAnsi="Segoe UI" w:cs="Segoe UI"/>
          <w:sz w:val="21"/>
          <w:szCs w:val="21"/>
        </w:rPr>
        <w:t xml:space="preserve"> was created and configured with four internal knowledge sources (Acquiring Companies, Acquired Companies, Acquisitions, and Founders &amp; Board Members datasets). </w:t>
      </w:r>
      <w:r>
        <w:rPr>
          <w:rStyle w:val="Strong"/>
          <w:rFonts w:ascii="Segoe UI" w:hAnsi="Segoe UI" w:cs="Segoe UI"/>
          <w:sz w:val="21"/>
          <w:szCs w:val="21"/>
        </w:rPr>
        <w:t>Quick Research</w:t>
      </w:r>
      <w:r>
        <w:rPr>
          <w:rFonts w:ascii="Segoe UI" w:hAnsi="Segoe UI" w:cs="Segoe UI"/>
          <w:sz w:val="21"/>
          <w:szCs w:val="21"/>
        </w:rPr>
        <w:t xml:space="preserve"> was used to gather external market intelligence and industry signals, and the AI agent was used to analyze, synthesize, validate, and produce executive-ready market intelligence findings.</w:t>
      </w:r>
    </w:p>
    <w:p w14:paraId="49DC26D4" w14:textId="77777777" w:rsidR="00EB177C" w:rsidRDefault="00EB177C" w:rsidP="00EB177C">
      <w:pPr>
        <w:pBdr>
          <w:top w:val="nil"/>
          <w:left w:val="nil"/>
          <w:bottom w:val="nil"/>
          <w:right w:val="nil"/>
          <w:between w:val="nil"/>
        </w:pBdr>
        <w:spacing w:after="120" w:line="275" w:lineRule="auto"/>
        <w:ind w:left="465"/>
      </w:pPr>
    </w:p>
    <w:p w14:paraId="00000013" w14:textId="77777777" w:rsidR="002B306B" w:rsidRDefault="00000000">
      <w:pPr>
        <w:pStyle w:val="Heading2"/>
        <w:spacing w:before="120" w:after="120" w:line="275" w:lineRule="auto"/>
        <w:rPr>
          <w:rFonts w:ascii="Google Sans" w:eastAsia="Google Sans" w:hAnsi="Google Sans" w:cs="Google Sans"/>
          <w:color w:val="1F1F1F"/>
        </w:rPr>
      </w:pPr>
      <w:r>
        <w:pict w14:anchorId="059B5613">
          <v:rect id="_x0000_i1028" style="width:0;height:1.5pt" o:hralign="center" o:hrstd="t" o:hr="t" fillcolor="#a0a0a0" stroked="f"/>
        </w:pict>
      </w:r>
      <w:r>
        <w:rPr>
          <w:rFonts w:ascii="Google Sans" w:eastAsia="Google Sans" w:hAnsi="Google Sans" w:cs="Google Sans"/>
          <w:color w:val="1F1F1F"/>
        </w:rPr>
        <w:t>4. Key Market Insights</w:t>
      </w:r>
    </w:p>
    <w:p w14:paraId="42ECEB8E" w14:textId="77777777" w:rsidR="00B87045" w:rsidRPr="007D0C09" w:rsidRDefault="00B87045" w:rsidP="00EB177C">
      <w:pPr>
        <w:pStyle w:val="Heading3"/>
      </w:pPr>
      <w:r w:rsidRPr="007D0C09">
        <w:t>Insight 1</w:t>
      </w:r>
    </w:p>
    <w:p w14:paraId="16157ACF" w14:textId="77777777" w:rsidR="00B87045" w:rsidRPr="007D0C09" w:rsidRDefault="00B87045" w:rsidP="00B87045">
      <w:pPr>
        <w:rPr>
          <w:b/>
          <w:bCs/>
        </w:rPr>
      </w:pPr>
      <w:r w:rsidRPr="007D0C09">
        <w:rPr>
          <w:b/>
          <w:bCs/>
        </w:rPr>
        <w:t>Technology acquisitions are increasingly capability-driven.</w:t>
      </w:r>
    </w:p>
    <w:p w14:paraId="511510F8" w14:textId="77777777" w:rsidR="00B87045" w:rsidRPr="007D0C09" w:rsidRDefault="00B87045" w:rsidP="00B87045">
      <w:r w:rsidRPr="007D0C09">
        <w:rPr>
          <w:b/>
          <w:bCs/>
        </w:rPr>
        <w:t>Supporting Evidence</w:t>
      </w:r>
    </w:p>
    <w:p w14:paraId="3038D5A8" w14:textId="77777777" w:rsidR="00B87045" w:rsidRPr="007D0C09" w:rsidRDefault="00B87045" w:rsidP="00B87045">
      <w:pPr>
        <w:widowControl/>
        <w:numPr>
          <w:ilvl w:val="0"/>
          <w:numId w:val="12"/>
        </w:numPr>
        <w:spacing w:after="160" w:line="278" w:lineRule="auto"/>
      </w:pPr>
      <w:r w:rsidRPr="007D0C09">
        <w:t>High volume of acquisitions focused on specialized technology firms.</w:t>
      </w:r>
    </w:p>
    <w:p w14:paraId="0F696686" w14:textId="77777777" w:rsidR="00B87045" w:rsidRPr="007D0C09" w:rsidRDefault="00B87045" w:rsidP="00B87045">
      <w:pPr>
        <w:widowControl/>
        <w:numPr>
          <w:ilvl w:val="0"/>
          <w:numId w:val="12"/>
        </w:numPr>
        <w:spacing w:after="160" w:line="278" w:lineRule="auto"/>
      </w:pPr>
      <w:r w:rsidRPr="007D0C09">
        <w:t>External research highlights AI, cybersecurity, and cloud platform acquisitions.</w:t>
      </w:r>
    </w:p>
    <w:p w14:paraId="598EEA03" w14:textId="77777777" w:rsidR="00B87045" w:rsidRPr="007D0C09" w:rsidRDefault="00B87045" w:rsidP="00B87045">
      <w:r w:rsidRPr="007D0C09">
        <w:rPr>
          <w:b/>
          <w:bCs/>
        </w:rPr>
        <w:t>Why it Matters</w:t>
      </w:r>
    </w:p>
    <w:p w14:paraId="5AB44BEE" w14:textId="77777777" w:rsidR="00B87045" w:rsidRPr="007D0C09" w:rsidRDefault="00B87045" w:rsidP="00B87045">
      <w:pPr>
        <w:widowControl/>
        <w:numPr>
          <w:ilvl w:val="0"/>
          <w:numId w:val="13"/>
        </w:numPr>
        <w:spacing w:after="160" w:line="278" w:lineRule="auto"/>
      </w:pPr>
      <w:r w:rsidRPr="007D0C09">
        <w:t>Organizations are buying capabilities rather than building them internally.</w:t>
      </w:r>
    </w:p>
    <w:p w14:paraId="7A3DB01C" w14:textId="2B1DF90C" w:rsidR="00B87045" w:rsidRPr="00113064" w:rsidRDefault="00B87045" w:rsidP="00EB177C">
      <w:pPr>
        <w:pStyle w:val="Heading3"/>
      </w:pPr>
      <w:r w:rsidRPr="007D0C09">
        <w:t>Insight 2</w:t>
      </w:r>
    </w:p>
    <w:p w14:paraId="2B9A2E24" w14:textId="77777777" w:rsidR="00B87045" w:rsidRPr="007D0C09" w:rsidRDefault="00B87045" w:rsidP="00B87045">
      <w:pPr>
        <w:rPr>
          <w:b/>
          <w:bCs/>
        </w:rPr>
      </w:pPr>
      <w:r w:rsidRPr="007D0C09">
        <w:rPr>
          <w:b/>
          <w:bCs/>
        </w:rPr>
        <w:t>Large technology firms rely on acquisition-led innovation.</w:t>
      </w:r>
    </w:p>
    <w:p w14:paraId="54E8DA3E" w14:textId="77777777" w:rsidR="00B87045" w:rsidRPr="007D0C09" w:rsidRDefault="00B87045" w:rsidP="00B87045">
      <w:r w:rsidRPr="007D0C09">
        <w:rPr>
          <w:b/>
          <w:bCs/>
        </w:rPr>
        <w:lastRenderedPageBreak/>
        <w:t>Supporting Evidence</w:t>
      </w:r>
    </w:p>
    <w:p w14:paraId="04095B16" w14:textId="77777777" w:rsidR="00B87045" w:rsidRPr="007D0C09" w:rsidRDefault="00B87045" w:rsidP="00B87045">
      <w:pPr>
        <w:widowControl/>
        <w:numPr>
          <w:ilvl w:val="0"/>
          <w:numId w:val="14"/>
        </w:numPr>
        <w:spacing w:after="160" w:line="278" w:lineRule="auto"/>
      </w:pPr>
      <w:r w:rsidRPr="007D0C09">
        <w:t>Most active acquirers repeatedly acquire niche technology companies.</w:t>
      </w:r>
    </w:p>
    <w:p w14:paraId="75F8174E" w14:textId="77777777" w:rsidR="00B87045" w:rsidRPr="007D0C09" w:rsidRDefault="00B87045" w:rsidP="00B87045">
      <w:pPr>
        <w:widowControl/>
        <w:numPr>
          <w:ilvl w:val="0"/>
          <w:numId w:val="14"/>
        </w:numPr>
        <w:spacing w:after="160" w:line="278" w:lineRule="auto"/>
      </w:pPr>
      <w:r w:rsidRPr="007D0C09">
        <w:t>Acquisition counts significantly exceed internal product launch rates reported in research.</w:t>
      </w:r>
    </w:p>
    <w:p w14:paraId="49A31401" w14:textId="77777777" w:rsidR="00B87045" w:rsidRPr="007D0C09" w:rsidRDefault="00B87045" w:rsidP="00B87045">
      <w:r w:rsidRPr="007D0C09">
        <w:rPr>
          <w:b/>
          <w:bCs/>
        </w:rPr>
        <w:t>Why it Matters</w:t>
      </w:r>
    </w:p>
    <w:p w14:paraId="10435032" w14:textId="77777777" w:rsidR="00B87045" w:rsidRPr="007D0C09" w:rsidRDefault="00B87045" w:rsidP="00B87045">
      <w:pPr>
        <w:widowControl/>
        <w:numPr>
          <w:ilvl w:val="0"/>
          <w:numId w:val="15"/>
        </w:numPr>
        <w:spacing w:after="160" w:line="278" w:lineRule="auto"/>
      </w:pPr>
      <w:r w:rsidRPr="007D0C09">
        <w:t>Acquisition strategy has become a core component of growth.</w:t>
      </w:r>
    </w:p>
    <w:p w14:paraId="16CDAC36" w14:textId="5D5FD118" w:rsidR="00B87045" w:rsidRPr="00113064" w:rsidRDefault="00B87045" w:rsidP="00EB177C">
      <w:pPr>
        <w:pStyle w:val="Heading3"/>
      </w:pPr>
      <w:r w:rsidRPr="007D0C09">
        <w:t>Insight 3</w:t>
      </w:r>
    </w:p>
    <w:p w14:paraId="6B54510F" w14:textId="77777777" w:rsidR="00B87045" w:rsidRPr="007D0C09" w:rsidRDefault="00B87045" w:rsidP="00B87045">
      <w:pPr>
        <w:rPr>
          <w:b/>
          <w:bCs/>
        </w:rPr>
      </w:pPr>
      <w:r w:rsidRPr="007D0C09">
        <w:rPr>
          <w:b/>
          <w:bCs/>
        </w:rPr>
        <w:t>Governance quality influences acquisition success.</w:t>
      </w:r>
    </w:p>
    <w:p w14:paraId="1CB68FB2" w14:textId="77777777" w:rsidR="00B87045" w:rsidRPr="007D0C09" w:rsidRDefault="00B87045" w:rsidP="00B87045">
      <w:r w:rsidRPr="007D0C09">
        <w:rPr>
          <w:b/>
          <w:bCs/>
        </w:rPr>
        <w:t>Supporting Evidence</w:t>
      </w:r>
    </w:p>
    <w:p w14:paraId="22B35670" w14:textId="77777777" w:rsidR="00B87045" w:rsidRPr="007D0C09" w:rsidRDefault="00B87045" w:rsidP="00B87045">
      <w:pPr>
        <w:widowControl/>
        <w:numPr>
          <w:ilvl w:val="0"/>
          <w:numId w:val="16"/>
        </w:numPr>
        <w:spacing w:after="160" w:line="278" w:lineRule="auto"/>
      </w:pPr>
      <w:r w:rsidRPr="007D0C09">
        <w:t>Board and founder data shows significant leadership involvement in acquisitive firms.</w:t>
      </w:r>
    </w:p>
    <w:p w14:paraId="5507D80F" w14:textId="77777777" w:rsidR="00B87045" w:rsidRPr="007D0C09" w:rsidRDefault="00B87045" w:rsidP="00B87045">
      <w:pPr>
        <w:widowControl/>
        <w:numPr>
          <w:ilvl w:val="0"/>
          <w:numId w:val="16"/>
        </w:numPr>
        <w:spacing w:after="160" w:line="278" w:lineRule="auto"/>
      </w:pPr>
      <w:r w:rsidRPr="007D0C09">
        <w:t>External studies repeatedly identify executive alignment as a key success factor.</w:t>
      </w:r>
    </w:p>
    <w:p w14:paraId="28F89B55" w14:textId="77777777" w:rsidR="00B87045" w:rsidRPr="007D0C09" w:rsidRDefault="00B87045" w:rsidP="00B87045">
      <w:r w:rsidRPr="007D0C09">
        <w:rPr>
          <w:b/>
          <w:bCs/>
        </w:rPr>
        <w:t>Why it Matters</w:t>
      </w:r>
    </w:p>
    <w:p w14:paraId="646BC439" w14:textId="77777777" w:rsidR="00B87045" w:rsidRPr="007D0C09" w:rsidRDefault="00B87045" w:rsidP="00B87045">
      <w:pPr>
        <w:widowControl/>
        <w:numPr>
          <w:ilvl w:val="0"/>
          <w:numId w:val="17"/>
        </w:numPr>
        <w:spacing w:after="160" w:line="278" w:lineRule="auto"/>
      </w:pPr>
      <w:r w:rsidRPr="007D0C09">
        <w:t xml:space="preserve">Successful </w:t>
      </w:r>
      <w:proofErr w:type="gramStart"/>
      <w:r w:rsidRPr="007D0C09">
        <w:t>integrations require</w:t>
      </w:r>
      <w:proofErr w:type="gramEnd"/>
      <w:r w:rsidRPr="007D0C09">
        <w:t xml:space="preserve"> governance structures, not just technology plans.</w:t>
      </w:r>
    </w:p>
    <w:p w14:paraId="4679DD37" w14:textId="6291C8F1" w:rsidR="00B87045" w:rsidRPr="00113064" w:rsidRDefault="00B87045" w:rsidP="00EB177C">
      <w:pPr>
        <w:pStyle w:val="Heading3"/>
      </w:pPr>
      <w:r w:rsidRPr="007D0C09">
        <w:t>Insight 4</w:t>
      </w:r>
    </w:p>
    <w:p w14:paraId="4C286D8F" w14:textId="77777777" w:rsidR="00B87045" w:rsidRPr="007D0C09" w:rsidRDefault="00B87045" w:rsidP="00B87045">
      <w:pPr>
        <w:rPr>
          <w:b/>
          <w:bCs/>
        </w:rPr>
      </w:pPr>
      <w:r w:rsidRPr="007D0C09">
        <w:rPr>
          <w:b/>
          <w:bCs/>
        </w:rPr>
        <w:t>Cloud modernization and cybersecurity are dominant integration priorities.</w:t>
      </w:r>
    </w:p>
    <w:p w14:paraId="45FFD3FA" w14:textId="77777777" w:rsidR="00B87045" w:rsidRPr="007D0C09" w:rsidRDefault="00B87045" w:rsidP="00B87045">
      <w:r w:rsidRPr="007D0C09">
        <w:rPr>
          <w:b/>
          <w:bCs/>
        </w:rPr>
        <w:t>Supporting Evidence</w:t>
      </w:r>
    </w:p>
    <w:p w14:paraId="0273ED2C" w14:textId="77777777" w:rsidR="00B87045" w:rsidRPr="007D0C09" w:rsidRDefault="00B87045" w:rsidP="00B87045">
      <w:pPr>
        <w:widowControl/>
        <w:numPr>
          <w:ilvl w:val="0"/>
          <w:numId w:val="18"/>
        </w:numPr>
        <w:spacing w:after="160" w:line="278" w:lineRule="auto"/>
      </w:pPr>
      <w:r w:rsidRPr="007D0C09">
        <w:t>Research strongly emphasizes cloud migration, identity management, and security integration challenges.</w:t>
      </w:r>
    </w:p>
    <w:p w14:paraId="345E722C" w14:textId="77777777" w:rsidR="00B87045" w:rsidRPr="007D0C09" w:rsidRDefault="00B87045" w:rsidP="00B87045">
      <w:pPr>
        <w:widowControl/>
        <w:numPr>
          <w:ilvl w:val="0"/>
          <w:numId w:val="18"/>
        </w:numPr>
        <w:spacing w:after="160" w:line="278" w:lineRule="auto"/>
      </w:pPr>
      <w:r w:rsidRPr="007D0C09">
        <w:t>Acquired companies frequently operate in software and infrastructure domains.</w:t>
      </w:r>
    </w:p>
    <w:p w14:paraId="264EDCE0" w14:textId="77777777" w:rsidR="00B87045" w:rsidRPr="007D0C09" w:rsidRDefault="00B87045" w:rsidP="00B87045">
      <w:r w:rsidRPr="007D0C09">
        <w:rPr>
          <w:b/>
          <w:bCs/>
        </w:rPr>
        <w:t>Why it Matters</w:t>
      </w:r>
    </w:p>
    <w:p w14:paraId="3A7C5484" w14:textId="77777777" w:rsidR="00B87045" w:rsidRPr="007D0C09" w:rsidRDefault="00B87045" w:rsidP="00B87045">
      <w:pPr>
        <w:widowControl/>
        <w:numPr>
          <w:ilvl w:val="0"/>
          <w:numId w:val="19"/>
        </w:numPr>
        <w:spacing w:after="160" w:line="278" w:lineRule="auto"/>
      </w:pPr>
      <w:r w:rsidRPr="007D0C09">
        <w:t>Integration teams should prioritize foundational technology capabilities early.</w:t>
      </w:r>
    </w:p>
    <w:p w14:paraId="30FABDFF" w14:textId="7E208BD3" w:rsidR="00B87045" w:rsidRPr="00113064" w:rsidRDefault="00B87045" w:rsidP="00EB177C">
      <w:pPr>
        <w:pStyle w:val="Heading3"/>
      </w:pPr>
      <w:r w:rsidRPr="007D0C09">
        <w:t>Insight 5</w:t>
      </w:r>
    </w:p>
    <w:p w14:paraId="1E57A061" w14:textId="77777777" w:rsidR="00B87045" w:rsidRPr="007D0C09" w:rsidRDefault="00B87045" w:rsidP="00B87045">
      <w:pPr>
        <w:rPr>
          <w:b/>
          <w:bCs/>
        </w:rPr>
      </w:pPr>
      <w:r w:rsidRPr="007D0C09">
        <w:rPr>
          <w:b/>
          <w:bCs/>
        </w:rPr>
        <w:t>Integration failure risk is driven as much by organizational alignment as by technical complexity.</w:t>
      </w:r>
    </w:p>
    <w:p w14:paraId="22B05A52" w14:textId="77777777" w:rsidR="00B87045" w:rsidRPr="007D0C09" w:rsidRDefault="00B87045" w:rsidP="00B87045">
      <w:r w:rsidRPr="007D0C09">
        <w:rPr>
          <w:b/>
          <w:bCs/>
        </w:rPr>
        <w:t>Supporting Evidence</w:t>
      </w:r>
    </w:p>
    <w:p w14:paraId="6285AE4A" w14:textId="77777777" w:rsidR="00B87045" w:rsidRPr="007D0C09" w:rsidRDefault="00B87045" w:rsidP="00B87045">
      <w:pPr>
        <w:widowControl/>
        <w:numPr>
          <w:ilvl w:val="0"/>
          <w:numId w:val="20"/>
        </w:numPr>
        <w:spacing w:after="160" w:line="278" w:lineRule="auto"/>
      </w:pPr>
      <w:r w:rsidRPr="007D0C09">
        <w:t>Research consistently identifies workforce alignment and decision governance as leading contributors to integration delays.</w:t>
      </w:r>
    </w:p>
    <w:p w14:paraId="3D7C370F" w14:textId="77777777" w:rsidR="00B87045" w:rsidRPr="007D0C09" w:rsidRDefault="00B87045" w:rsidP="00B87045">
      <w:r w:rsidRPr="007D0C09">
        <w:rPr>
          <w:b/>
          <w:bCs/>
        </w:rPr>
        <w:t>Why it Matters</w:t>
      </w:r>
    </w:p>
    <w:p w14:paraId="6158FCAF" w14:textId="77777777" w:rsidR="00B87045" w:rsidRPr="007D0C09" w:rsidRDefault="00B87045" w:rsidP="00B87045">
      <w:pPr>
        <w:widowControl/>
        <w:numPr>
          <w:ilvl w:val="0"/>
          <w:numId w:val="21"/>
        </w:numPr>
        <w:spacing w:after="160" w:line="278" w:lineRule="auto"/>
      </w:pPr>
      <w:r w:rsidRPr="007D0C09">
        <w:t>Technology integration leaders must coordinate people, process, and technology simultaneously.</w:t>
      </w:r>
    </w:p>
    <w:p w14:paraId="00000021" w14:textId="57806268" w:rsidR="002B306B" w:rsidRDefault="002B306B">
      <w:pPr>
        <w:pBdr>
          <w:top w:val="nil"/>
          <w:left w:val="nil"/>
          <w:bottom w:val="nil"/>
          <w:right w:val="nil"/>
          <w:between w:val="nil"/>
        </w:pBdr>
        <w:spacing w:before="240" w:after="240" w:line="275" w:lineRule="auto"/>
        <w:rPr>
          <w:rFonts w:ascii="Google Sans" w:eastAsia="Google Sans" w:hAnsi="Google Sans" w:cs="Google Sans"/>
          <w:i/>
          <w:iCs/>
          <w:color w:val="1F1F1F"/>
        </w:rPr>
      </w:pPr>
    </w:p>
    <w:p w14:paraId="00000022" w14:textId="076CD9EA" w:rsidR="002B306B" w:rsidRDefault="00000000">
      <w:pPr>
        <w:pStyle w:val="Heading2"/>
        <w:spacing w:before="120" w:after="120" w:line="275" w:lineRule="auto"/>
        <w:rPr>
          <w:rFonts w:ascii="Google Sans" w:eastAsia="Google Sans" w:hAnsi="Google Sans" w:cs="Google Sans"/>
          <w:color w:val="1F1F1F"/>
        </w:rPr>
      </w:pPr>
      <w:r>
        <w:pict w14:anchorId="0D9AA5C9">
          <v:rect id="_x0000_i1029" style="width:0;height:1.5pt" o:hralign="center" o:hrstd="t" o:hr="t" fillcolor="#a0a0a0" stroked="f"/>
        </w:pict>
      </w:r>
      <w:r>
        <w:rPr>
          <w:rFonts w:ascii="Google Sans" w:eastAsia="Google Sans" w:hAnsi="Google Sans" w:cs="Google Sans"/>
          <w:color w:val="1F1F1F"/>
        </w:rPr>
        <w:t xml:space="preserve">5. Visual Evidence </w:t>
      </w:r>
    </w:p>
    <w:p w14:paraId="4A7C8D5D" w14:textId="77777777" w:rsidR="00F9118D" w:rsidRDefault="00F9118D">
      <w:pPr>
        <w:pStyle w:val="Heading2"/>
        <w:spacing w:before="120" w:after="120" w:line="275" w:lineRule="auto"/>
      </w:pPr>
      <w:r w:rsidRPr="00F9118D">
        <w:rPr>
          <w:rFonts w:ascii="Google Sans" w:eastAsia="Google Sans" w:hAnsi="Google Sans" w:cs="Google Sans"/>
          <w:b w:val="0"/>
          <w:bCs w:val="0"/>
          <w:i/>
          <w:iCs/>
          <w:noProof/>
          <w:color w:val="1F1F1F"/>
          <w:sz w:val="22"/>
          <w:szCs w:val="22"/>
        </w:rPr>
        <w:lastRenderedPageBreak/>
        <w:drawing>
          <wp:inline distT="0" distB="0" distL="0" distR="0" wp14:anchorId="20EF7B09" wp14:editId="1F9ABD6B">
            <wp:extent cx="5943600" cy="2921635"/>
            <wp:effectExtent l="0" t="0" r="0" b="0"/>
            <wp:docPr id="777132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132510" name=""/>
                    <pic:cNvPicPr/>
                  </pic:nvPicPr>
                  <pic:blipFill>
                    <a:blip r:embed="rId5"/>
                    <a:stretch>
                      <a:fillRect/>
                    </a:stretch>
                  </pic:blipFill>
                  <pic:spPr>
                    <a:xfrm>
                      <a:off x="0" y="0"/>
                      <a:ext cx="5943600" cy="2921635"/>
                    </a:xfrm>
                    <a:prstGeom prst="rect">
                      <a:avLst/>
                    </a:prstGeom>
                  </pic:spPr>
                </pic:pic>
              </a:graphicData>
            </a:graphic>
          </wp:inline>
        </w:drawing>
      </w:r>
      <w:r w:rsidR="00000000">
        <w:pict w14:anchorId="0AB098B8">
          <v:rect id="_x0000_i1030" style="width:0;height:1.5pt" o:hralign="center" o:hrstd="t" o:hr="t" fillcolor="#a0a0a0" stroked="f"/>
        </w:pict>
      </w:r>
    </w:p>
    <w:p w14:paraId="00000027" w14:textId="0E616C18" w:rsidR="002B306B"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6. Confidence Assessment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4"/>
        <w:gridCol w:w="1643"/>
        <w:gridCol w:w="1399"/>
        <w:gridCol w:w="1228"/>
        <w:gridCol w:w="1303"/>
      </w:tblGrid>
      <w:tr w:rsidR="00340788" w:rsidRPr="003220D7" w14:paraId="3AB2AAC0"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AAF805" w14:textId="77777777" w:rsidR="00340788" w:rsidRPr="003220D7" w:rsidRDefault="00340788" w:rsidP="00004278">
            <w:pPr>
              <w:rPr>
                <w:b/>
                <w:bCs/>
              </w:rPr>
            </w:pPr>
            <w:r w:rsidRPr="003220D7">
              <w:rPr>
                <w:b/>
                <w:bCs/>
              </w:rPr>
              <w:t>Insight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F99481" w14:textId="77777777" w:rsidR="00340788" w:rsidRPr="003220D7" w:rsidRDefault="00340788" w:rsidP="00004278">
            <w:pPr>
              <w:rPr>
                <w:b/>
                <w:bCs/>
              </w:rPr>
            </w:pPr>
            <w:r w:rsidRPr="003220D7">
              <w:rPr>
                <w:b/>
                <w:bCs/>
              </w:rPr>
              <w:t>Source Quality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C31E03" w14:textId="77777777" w:rsidR="00340788" w:rsidRPr="003220D7" w:rsidRDefault="00340788" w:rsidP="00004278">
            <w:pPr>
              <w:rPr>
                <w:b/>
                <w:bCs/>
              </w:rPr>
            </w:pPr>
            <w:r w:rsidRPr="003220D7">
              <w:rPr>
                <w:b/>
                <w:bCs/>
              </w:rPr>
              <w:t>Consistency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634152" w14:textId="77777777" w:rsidR="00340788" w:rsidRPr="003220D7" w:rsidRDefault="00340788" w:rsidP="00004278">
            <w:pPr>
              <w:rPr>
                <w:b/>
                <w:bCs/>
              </w:rPr>
            </w:pPr>
            <w:r w:rsidRPr="003220D7">
              <w:rPr>
                <w:b/>
                <w:bCs/>
              </w:rPr>
              <w:t>Timeliness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CD8D4D" w14:textId="77777777" w:rsidR="00340788" w:rsidRPr="003220D7" w:rsidRDefault="00340788" w:rsidP="00004278">
            <w:pPr>
              <w:rPr>
                <w:b/>
                <w:bCs/>
              </w:rPr>
            </w:pPr>
            <w:r w:rsidRPr="003220D7">
              <w:rPr>
                <w:b/>
                <w:bCs/>
              </w:rPr>
              <w:t>Confidence</w:t>
            </w:r>
          </w:p>
        </w:tc>
      </w:tr>
      <w:tr w:rsidR="00340788" w:rsidRPr="003220D7" w14:paraId="2F2FD01F"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4D5FA3" w14:textId="77777777" w:rsidR="00340788" w:rsidRPr="003220D7" w:rsidRDefault="00340788" w:rsidP="00004278">
            <w:r w:rsidRPr="003220D7">
              <w:t>Capability Acquisition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5AF2E3"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24E647"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A2F65A"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D1BC40" w14:textId="77777777" w:rsidR="00340788" w:rsidRPr="003220D7" w:rsidRDefault="00340788" w:rsidP="00004278">
            <w:r w:rsidRPr="003220D7">
              <w:t>High</w:t>
            </w:r>
          </w:p>
        </w:tc>
      </w:tr>
      <w:tr w:rsidR="00340788" w:rsidRPr="003220D7" w14:paraId="40A8D6B9"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00C2D" w14:textId="77777777" w:rsidR="00340788" w:rsidRPr="003220D7" w:rsidRDefault="00340788" w:rsidP="00004278">
            <w:r w:rsidRPr="003220D7">
              <w:t>Acquisition-Led Growth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F00F2A"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82788D"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579F33"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834988" w14:textId="77777777" w:rsidR="00340788" w:rsidRPr="003220D7" w:rsidRDefault="00340788" w:rsidP="00004278">
            <w:r w:rsidRPr="003220D7">
              <w:t>High</w:t>
            </w:r>
          </w:p>
        </w:tc>
      </w:tr>
      <w:tr w:rsidR="00340788" w:rsidRPr="003220D7" w14:paraId="698D2CBC"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425BC3" w14:textId="77777777" w:rsidR="00340788" w:rsidRPr="003220D7" w:rsidRDefault="00340788" w:rsidP="00004278">
            <w:r w:rsidRPr="003220D7">
              <w:t>Governance Impact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C7188A"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0531A9"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4EFDD5"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6C9B43" w14:textId="77777777" w:rsidR="00340788" w:rsidRPr="003220D7" w:rsidRDefault="00340788" w:rsidP="00004278">
            <w:r w:rsidRPr="003220D7">
              <w:t>Medium</w:t>
            </w:r>
          </w:p>
        </w:tc>
      </w:tr>
      <w:tr w:rsidR="00340788" w:rsidRPr="003220D7" w14:paraId="76AF8E1A"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FA0881" w14:textId="77777777" w:rsidR="00340788" w:rsidRPr="003220D7" w:rsidRDefault="00340788" w:rsidP="00004278">
            <w:r w:rsidRPr="003220D7">
              <w:t>Cloud &amp; Cybersecurity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251F64"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323A0F"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EA3FAC"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996473" w14:textId="77777777" w:rsidR="00340788" w:rsidRPr="003220D7" w:rsidRDefault="00340788" w:rsidP="00004278">
            <w:r w:rsidRPr="003220D7">
              <w:t>High</w:t>
            </w:r>
          </w:p>
        </w:tc>
      </w:tr>
      <w:tr w:rsidR="00340788" w:rsidRPr="003220D7" w14:paraId="4BC1A114" w14:textId="77777777" w:rsidTr="00004278">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EB853D" w14:textId="77777777" w:rsidR="00340788" w:rsidRPr="003220D7" w:rsidRDefault="00340788" w:rsidP="00004278">
            <w:r w:rsidRPr="003220D7">
              <w:t>Organizational Alignment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635080" w14:textId="77777777" w:rsidR="00340788" w:rsidRPr="003220D7" w:rsidRDefault="00340788" w:rsidP="00004278">
            <w:r w:rsidRPr="003220D7">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140216"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A0D9AF" w14:textId="77777777" w:rsidR="00340788" w:rsidRPr="003220D7" w:rsidRDefault="00340788" w:rsidP="00004278">
            <w:r w:rsidRPr="003220D7">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CC0AA8" w14:textId="77777777" w:rsidR="00340788" w:rsidRPr="003220D7" w:rsidRDefault="00340788" w:rsidP="00004278">
            <w:r w:rsidRPr="003220D7">
              <w:t>Medium</w:t>
            </w:r>
          </w:p>
        </w:tc>
      </w:tr>
    </w:tbl>
    <w:p w14:paraId="0000002D" w14:textId="77777777" w:rsidR="002B306B" w:rsidRDefault="00000000">
      <w:pPr>
        <w:pStyle w:val="Heading2"/>
        <w:spacing w:before="120" w:after="120" w:line="275" w:lineRule="auto"/>
        <w:rPr>
          <w:rFonts w:ascii="Google Sans" w:eastAsia="Google Sans" w:hAnsi="Google Sans" w:cs="Google Sans"/>
          <w:color w:val="1F1F1F"/>
        </w:rPr>
      </w:pPr>
      <w:r>
        <w:pict w14:anchorId="65A17587">
          <v:rect id="_x0000_i1031" style="width:0;height:1.5pt" o:hralign="center" o:hrstd="t" o:hr="t" fillcolor="#a0a0a0" stroked="f"/>
        </w:pict>
      </w:r>
      <w:r>
        <w:rPr>
          <w:rFonts w:ascii="Google Sans" w:eastAsia="Google Sans" w:hAnsi="Google Sans" w:cs="Google Sans"/>
          <w:color w:val="1F1F1F"/>
        </w:rPr>
        <w:t>7. Limitations and Risks</w:t>
      </w:r>
    </w:p>
    <w:p w14:paraId="58842F08" w14:textId="77777777" w:rsidR="00340788" w:rsidRPr="00E414F6" w:rsidRDefault="00340788" w:rsidP="00340788">
      <w:pPr>
        <w:rPr>
          <w:b/>
          <w:bCs/>
        </w:rPr>
      </w:pPr>
      <w:r w:rsidRPr="00E414F6">
        <w:rPr>
          <w:b/>
          <w:bCs/>
        </w:rPr>
        <w:t>Limitation 1</w:t>
      </w:r>
    </w:p>
    <w:p w14:paraId="620D3B04" w14:textId="77777777" w:rsidR="00340788" w:rsidRPr="00E414F6" w:rsidRDefault="00340788" w:rsidP="00340788">
      <w:r w:rsidRPr="00E414F6">
        <w:t>The dataset focuses primarily on technology-sector organizations and may not reflect acquisition behavior in other industries.</w:t>
      </w:r>
    </w:p>
    <w:p w14:paraId="309E04FC" w14:textId="77777777" w:rsidR="00340788" w:rsidRPr="00E414F6" w:rsidRDefault="00340788" w:rsidP="00340788">
      <w:pPr>
        <w:rPr>
          <w:b/>
          <w:bCs/>
        </w:rPr>
      </w:pPr>
      <w:r w:rsidRPr="00E414F6">
        <w:rPr>
          <w:b/>
          <w:bCs/>
        </w:rPr>
        <w:t>Limitation 2</w:t>
      </w:r>
    </w:p>
    <w:p w14:paraId="39320D0A" w14:textId="77777777" w:rsidR="00340788" w:rsidRPr="00E414F6" w:rsidRDefault="00340788" w:rsidP="00340788">
      <w:r w:rsidRPr="00E414F6">
        <w:t>The dataset provides transaction and company characteristics but does not directly measure post-merger integration outcomes.</w:t>
      </w:r>
    </w:p>
    <w:p w14:paraId="502B1C23" w14:textId="77777777" w:rsidR="00340788" w:rsidRPr="00E414F6" w:rsidRDefault="00340788" w:rsidP="00340788">
      <w:pPr>
        <w:rPr>
          <w:b/>
          <w:bCs/>
        </w:rPr>
      </w:pPr>
      <w:r w:rsidRPr="00E414F6">
        <w:rPr>
          <w:b/>
          <w:bCs/>
        </w:rPr>
        <w:t>Limitation 3</w:t>
      </w:r>
    </w:p>
    <w:p w14:paraId="20E34CF3" w14:textId="77777777" w:rsidR="00340788" w:rsidRPr="00E414F6" w:rsidRDefault="00340788" w:rsidP="00340788">
      <w:r w:rsidRPr="00E414F6">
        <w:t xml:space="preserve">External research sources may reflect differing definitions </w:t>
      </w:r>
      <w:proofErr w:type="gramStart"/>
      <w:r w:rsidRPr="00E414F6">
        <w:t>of acquisition</w:t>
      </w:r>
      <w:proofErr w:type="gramEnd"/>
      <w:r w:rsidRPr="00E414F6">
        <w:t xml:space="preserve"> success across studies.</w:t>
      </w:r>
    </w:p>
    <w:p w14:paraId="4B0BBEC6" w14:textId="77777777" w:rsidR="00340788" w:rsidRPr="00E414F6" w:rsidRDefault="00340788" w:rsidP="00340788">
      <w:pPr>
        <w:rPr>
          <w:b/>
          <w:bCs/>
        </w:rPr>
      </w:pPr>
      <w:r w:rsidRPr="00E414F6">
        <w:rPr>
          <w:b/>
          <w:bCs/>
        </w:rPr>
        <w:t>Limitation 4</w:t>
      </w:r>
    </w:p>
    <w:p w14:paraId="1CA28A1F" w14:textId="77777777" w:rsidR="00340788" w:rsidRPr="00E414F6" w:rsidRDefault="00340788" w:rsidP="00340788">
      <w:r w:rsidRPr="00E414F6">
        <w:t>Board composition and founder involvement do not by themselves establish causal relationships with acquisition success.</w:t>
      </w:r>
    </w:p>
    <w:p w14:paraId="00000032" w14:textId="77777777" w:rsidR="002B306B" w:rsidRDefault="00000000">
      <w:pPr>
        <w:pStyle w:val="Heading2"/>
        <w:spacing w:before="120" w:after="120" w:line="275" w:lineRule="auto"/>
        <w:rPr>
          <w:rFonts w:ascii="Google Sans" w:eastAsia="Google Sans" w:hAnsi="Google Sans" w:cs="Google Sans"/>
          <w:color w:val="1F1F1F"/>
        </w:rPr>
      </w:pPr>
      <w:r>
        <w:pict w14:anchorId="44D58B01">
          <v:rect id="_x0000_i1032" style="width:0;height:1.5pt" o:hralign="center" o:hrstd="t" o:hr="t" fillcolor="#a0a0a0" stroked="f"/>
        </w:pict>
      </w:r>
      <w:r>
        <w:rPr>
          <w:rFonts w:ascii="Google Sans" w:eastAsia="Google Sans" w:hAnsi="Google Sans" w:cs="Google Sans"/>
          <w:color w:val="1F1F1F"/>
        </w:rPr>
        <w:lastRenderedPageBreak/>
        <w:t>8. Strategic Implications</w:t>
      </w:r>
    </w:p>
    <w:p w14:paraId="3F2C3F82" w14:textId="77777777" w:rsidR="00892527" w:rsidRPr="001F4AB9" w:rsidRDefault="00892527" w:rsidP="00892527">
      <w:pPr>
        <w:rPr>
          <w:b/>
          <w:bCs/>
        </w:rPr>
      </w:pPr>
      <w:r w:rsidRPr="001F4AB9">
        <w:rPr>
          <w:b/>
          <w:bCs/>
        </w:rPr>
        <w:t>Decisions This Research Supports</w:t>
      </w:r>
    </w:p>
    <w:p w14:paraId="1F8D3CF0" w14:textId="77777777" w:rsidR="00892527" w:rsidRPr="001F4AB9" w:rsidRDefault="00892527" w:rsidP="00892527">
      <w:pPr>
        <w:widowControl/>
        <w:numPr>
          <w:ilvl w:val="0"/>
          <w:numId w:val="22"/>
        </w:numPr>
        <w:spacing w:after="160" w:line="278" w:lineRule="auto"/>
      </w:pPr>
      <w:r w:rsidRPr="001F4AB9">
        <w:t>M&amp;A technology integration planning</w:t>
      </w:r>
    </w:p>
    <w:p w14:paraId="08678D72" w14:textId="77777777" w:rsidR="00892527" w:rsidRPr="001F4AB9" w:rsidRDefault="00892527" w:rsidP="00892527">
      <w:pPr>
        <w:widowControl/>
        <w:numPr>
          <w:ilvl w:val="0"/>
          <w:numId w:val="22"/>
        </w:numPr>
        <w:spacing w:after="160" w:line="278" w:lineRule="auto"/>
      </w:pPr>
      <w:r w:rsidRPr="001F4AB9">
        <w:t>Due diligence prioritization</w:t>
      </w:r>
    </w:p>
    <w:p w14:paraId="07AA021E" w14:textId="77777777" w:rsidR="00892527" w:rsidRPr="001F4AB9" w:rsidRDefault="00892527" w:rsidP="00892527">
      <w:pPr>
        <w:widowControl/>
        <w:numPr>
          <w:ilvl w:val="0"/>
          <w:numId w:val="22"/>
        </w:numPr>
        <w:spacing w:after="160" w:line="278" w:lineRule="auto"/>
      </w:pPr>
      <w:r w:rsidRPr="001F4AB9">
        <w:t>Governance model design</w:t>
      </w:r>
    </w:p>
    <w:p w14:paraId="201FF91D" w14:textId="77777777" w:rsidR="00892527" w:rsidRPr="001F4AB9" w:rsidRDefault="00892527" w:rsidP="00892527">
      <w:pPr>
        <w:widowControl/>
        <w:numPr>
          <w:ilvl w:val="0"/>
          <w:numId w:val="22"/>
        </w:numPr>
        <w:spacing w:after="160" w:line="278" w:lineRule="auto"/>
      </w:pPr>
      <w:r w:rsidRPr="001F4AB9">
        <w:t>Cloud modernization strategy</w:t>
      </w:r>
    </w:p>
    <w:p w14:paraId="05A49A91" w14:textId="77777777" w:rsidR="00892527" w:rsidRDefault="00892527" w:rsidP="00892527">
      <w:pPr>
        <w:widowControl/>
        <w:numPr>
          <w:ilvl w:val="0"/>
          <w:numId w:val="22"/>
        </w:numPr>
        <w:spacing w:after="160" w:line="278" w:lineRule="auto"/>
      </w:pPr>
      <w:r w:rsidRPr="001F4AB9">
        <w:t>Acquisition target evaluation</w:t>
      </w:r>
    </w:p>
    <w:p w14:paraId="1E036CAD" w14:textId="77777777" w:rsidR="00BB32A0" w:rsidRPr="001F4AB9" w:rsidRDefault="00BB32A0" w:rsidP="00BB32A0">
      <w:pPr>
        <w:widowControl/>
        <w:spacing w:after="160" w:line="278" w:lineRule="auto"/>
        <w:ind w:left="720"/>
      </w:pPr>
    </w:p>
    <w:p w14:paraId="6B451BF1" w14:textId="61A19836" w:rsidR="00892527" w:rsidRPr="00892527" w:rsidRDefault="00892527" w:rsidP="00892527">
      <w:r w:rsidRPr="001F4AB9">
        <w:rPr>
          <w:b/>
          <w:bCs/>
        </w:rPr>
        <w:t>What Should NOT Be Concluded</w:t>
      </w:r>
    </w:p>
    <w:p w14:paraId="554DEDCD" w14:textId="77777777" w:rsidR="00892527" w:rsidRPr="001F4AB9" w:rsidRDefault="00892527" w:rsidP="00892527">
      <w:pPr>
        <w:rPr>
          <w:b/>
          <w:bCs/>
        </w:rPr>
      </w:pPr>
      <w:r w:rsidRPr="001F4AB9">
        <w:rPr>
          <w:b/>
          <w:bCs/>
        </w:rPr>
        <w:t>Caveat 1</w:t>
      </w:r>
    </w:p>
    <w:p w14:paraId="29A8B80D" w14:textId="77777777" w:rsidR="00892527" w:rsidRPr="001F4AB9" w:rsidRDefault="00892527" w:rsidP="00892527">
      <w:r w:rsidRPr="001F4AB9">
        <w:t>The analysis does not prove that higher acquisition volume guarantees better business performance.</w:t>
      </w:r>
    </w:p>
    <w:p w14:paraId="48A997C0" w14:textId="77777777" w:rsidR="00892527" w:rsidRPr="001F4AB9" w:rsidRDefault="00892527" w:rsidP="00892527">
      <w:pPr>
        <w:rPr>
          <w:b/>
          <w:bCs/>
        </w:rPr>
      </w:pPr>
      <w:r w:rsidRPr="001F4AB9">
        <w:rPr>
          <w:b/>
          <w:bCs/>
        </w:rPr>
        <w:t>Caveat 2</w:t>
      </w:r>
    </w:p>
    <w:p w14:paraId="2D2F701A" w14:textId="77777777" w:rsidR="00892527" w:rsidRPr="001F4AB9" w:rsidRDefault="00892527" w:rsidP="00892527">
      <w:r w:rsidRPr="001F4AB9">
        <w:t>The analysis does not establish direct causation between board composition and successful integration outcomes.</w:t>
      </w:r>
    </w:p>
    <w:p w14:paraId="0FEC56A3" w14:textId="77777777" w:rsidR="00892527" w:rsidRPr="001F4AB9" w:rsidRDefault="00892527" w:rsidP="00892527">
      <w:pPr>
        <w:rPr>
          <w:b/>
          <w:bCs/>
        </w:rPr>
      </w:pPr>
      <w:r w:rsidRPr="001F4AB9">
        <w:rPr>
          <w:b/>
          <w:bCs/>
        </w:rPr>
        <w:t>Caveat 3</w:t>
      </w:r>
    </w:p>
    <w:p w14:paraId="78C45FBD" w14:textId="77777777" w:rsidR="00892527" w:rsidRPr="001F4AB9" w:rsidRDefault="00892527" w:rsidP="00892527">
      <w:r w:rsidRPr="001F4AB9">
        <w:t>The findings should not be interpreted as predictions of future acquisition performance.</w:t>
      </w:r>
    </w:p>
    <w:p w14:paraId="00000038" w14:textId="77777777" w:rsidR="002B306B" w:rsidRDefault="00000000">
      <w:pPr>
        <w:pStyle w:val="Heading2"/>
        <w:spacing w:before="120" w:after="120" w:line="275" w:lineRule="auto"/>
        <w:rPr>
          <w:rFonts w:ascii="Google Sans" w:eastAsia="Google Sans" w:hAnsi="Google Sans" w:cs="Google Sans"/>
          <w:color w:val="1F1F1F"/>
        </w:rPr>
      </w:pPr>
      <w:r>
        <w:pict w14:anchorId="257D33D5">
          <v:rect id="_x0000_i1033" style="width:0;height:1.5pt" o:hralign="center" o:hrstd="t" o:hr="t" fillcolor="#a0a0a0" stroked="f"/>
        </w:pict>
      </w:r>
      <w:r>
        <w:rPr>
          <w:rFonts w:ascii="Google Sans" w:eastAsia="Google Sans" w:hAnsi="Google Sans" w:cs="Google Sans"/>
          <w:color w:val="1F1F1F"/>
        </w:rPr>
        <w:t>9. Summary for Leadership</w:t>
      </w:r>
    </w:p>
    <w:p w14:paraId="723C8E49" w14:textId="77777777" w:rsidR="001106DD" w:rsidRPr="006D1F97" w:rsidRDefault="001106DD" w:rsidP="001106DD">
      <w:r w:rsidRPr="006D1F97">
        <w:t>Analysis of technology acquisition activity, acquiring company characteristics, governance structures, and external market research reveals that technology acquisitions are increasingly used to acquire strategic capabilities rather than simply expand market share. The most active acquirers demonstrate acquisition-led innovation models supported by strong governance and executive involvement. External research consistently identifies cloud modernization, cybersecurity readiness, and data integration as leading priorities during post-merger integration. Leadership alignment and governance maturity appear as important as technical execution in determining long-term success. Confidence in the findings is medium-to-high because multiple external research sources align with observed acquisition patterns. Organizations pursuing growth through acquisition should prioritize integration governance, cybersecurity due diligence, and cloud operating model alignment early in the transaction lifecycle. These findings can help leaders improve acquisition planning, accelerate value realization, and reduce integration risk.</w:t>
      </w:r>
    </w:p>
    <w:p w14:paraId="0000003B" w14:textId="49483596" w:rsidR="002B306B" w:rsidRDefault="002B306B" w:rsidP="001106DD">
      <w:pPr>
        <w:pBdr>
          <w:top w:val="nil"/>
          <w:left w:val="nil"/>
          <w:bottom w:val="nil"/>
          <w:right w:val="nil"/>
          <w:between w:val="nil"/>
        </w:pBdr>
        <w:spacing w:after="240" w:line="275" w:lineRule="auto"/>
        <w:rPr>
          <w:rFonts w:ascii="Google Sans" w:eastAsia="Google Sans" w:hAnsi="Google Sans" w:cs="Google Sans"/>
          <w:color w:val="1F1F1F"/>
        </w:rPr>
      </w:pPr>
    </w:p>
    <w:sectPr w:rsidR="002B306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FE42027-3C0B-4A41-9160-B9F41509DCF3}"/>
  </w:font>
  <w:font w:name="Google Sans">
    <w:altName w:val="Calibri"/>
    <w:charset w:val="00"/>
    <w:family w:val="auto"/>
    <w:pitch w:val="default"/>
    <w:embedRegular r:id="rId2" w:fontKey="{716DFEAA-29A0-4137-B32D-73EE38603BFD}"/>
    <w:embedBold r:id="rId3" w:fontKey="{6E78F9D0-75E5-43D8-92D3-485BF36AEC73}"/>
    <w:embedItalic r:id="rId4" w:fontKey="{30035567-5B68-4CD5-AA95-C767E13EC58A}"/>
  </w:font>
  <w:font w:name="Segoe UI">
    <w:panose1 w:val="020B0502040204020203"/>
    <w:charset w:val="00"/>
    <w:family w:val="swiss"/>
    <w:pitch w:val="variable"/>
    <w:sig w:usb0="E4002EFF" w:usb1="C000E47F" w:usb2="00000009" w:usb3="00000000" w:csb0="000001FF" w:csb1="00000000"/>
    <w:embedRegular r:id="rId5" w:fontKey="{F8224B27-418B-45AB-BDBC-918033062F51}"/>
    <w:embedBold r:id="rId6" w:fontKey="{EB4BF48F-1514-4480-BE38-C4D5C7A708CF}"/>
  </w:font>
  <w:font w:name="Calibri">
    <w:panose1 w:val="020F0502020204030204"/>
    <w:charset w:val="00"/>
    <w:family w:val="swiss"/>
    <w:pitch w:val="variable"/>
    <w:sig w:usb0="E4002EFF" w:usb1="C200247B" w:usb2="00000009" w:usb3="00000000" w:csb0="000001FF" w:csb1="00000000"/>
    <w:embedRegular r:id="rId7" w:fontKey="{ACAE53C3-9C64-4881-BE11-0731D0C02183}"/>
  </w:font>
  <w:font w:name="Cambria">
    <w:panose1 w:val="02040503050406030204"/>
    <w:charset w:val="00"/>
    <w:family w:val="roman"/>
    <w:pitch w:val="variable"/>
    <w:sig w:usb0="E00006FF" w:usb1="420024FF" w:usb2="02000000" w:usb3="00000000" w:csb0="0000019F" w:csb1="00000000"/>
    <w:embedRegular r:id="rId8" w:fontKey="{296D364D-109A-4599-A0A6-30CCAE8BD53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D50C0"/>
    <w:multiLevelType w:val="multilevel"/>
    <w:tmpl w:val="2C2E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C3F26"/>
    <w:multiLevelType w:val="multilevel"/>
    <w:tmpl w:val="ABEADBC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DDA0569"/>
    <w:multiLevelType w:val="multilevel"/>
    <w:tmpl w:val="6894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210B95"/>
    <w:multiLevelType w:val="multilevel"/>
    <w:tmpl w:val="FF0E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32677"/>
    <w:multiLevelType w:val="multilevel"/>
    <w:tmpl w:val="CDB4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C15A5"/>
    <w:multiLevelType w:val="multilevel"/>
    <w:tmpl w:val="FA74B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833F3"/>
    <w:multiLevelType w:val="multilevel"/>
    <w:tmpl w:val="783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C5964"/>
    <w:multiLevelType w:val="multilevel"/>
    <w:tmpl w:val="36F838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6B86662"/>
    <w:multiLevelType w:val="multilevel"/>
    <w:tmpl w:val="FB42CD6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AB57524"/>
    <w:multiLevelType w:val="multilevel"/>
    <w:tmpl w:val="81BA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6546AD"/>
    <w:multiLevelType w:val="multilevel"/>
    <w:tmpl w:val="2E88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2064AA"/>
    <w:multiLevelType w:val="multilevel"/>
    <w:tmpl w:val="1AE87A2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7FA0736"/>
    <w:multiLevelType w:val="multilevel"/>
    <w:tmpl w:val="C13E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1F2ED6"/>
    <w:multiLevelType w:val="multilevel"/>
    <w:tmpl w:val="E82C7F0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503C5231"/>
    <w:multiLevelType w:val="multilevel"/>
    <w:tmpl w:val="DF36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8397A"/>
    <w:multiLevelType w:val="multilevel"/>
    <w:tmpl w:val="FB0E15C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55A60269"/>
    <w:multiLevelType w:val="multilevel"/>
    <w:tmpl w:val="2E781CF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65D74320"/>
    <w:multiLevelType w:val="multilevel"/>
    <w:tmpl w:val="E380300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671429A0"/>
    <w:multiLevelType w:val="multilevel"/>
    <w:tmpl w:val="350EC27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74094359"/>
    <w:multiLevelType w:val="multilevel"/>
    <w:tmpl w:val="FFDE92C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74AD5843"/>
    <w:multiLevelType w:val="multilevel"/>
    <w:tmpl w:val="B8BEFC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77CF23EE"/>
    <w:multiLevelType w:val="multilevel"/>
    <w:tmpl w:val="16F8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7951606">
    <w:abstractNumId w:val="15"/>
  </w:num>
  <w:num w:numId="2" w16cid:durableId="343478974">
    <w:abstractNumId w:val="13"/>
  </w:num>
  <w:num w:numId="3" w16cid:durableId="1108624516">
    <w:abstractNumId w:val="20"/>
  </w:num>
  <w:num w:numId="4" w16cid:durableId="734670336">
    <w:abstractNumId w:val="16"/>
  </w:num>
  <w:num w:numId="5" w16cid:durableId="1159661274">
    <w:abstractNumId w:val="11"/>
  </w:num>
  <w:num w:numId="6" w16cid:durableId="558057550">
    <w:abstractNumId w:val="18"/>
  </w:num>
  <w:num w:numId="7" w16cid:durableId="875897202">
    <w:abstractNumId w:val="1"/>
  </w:num>
  <w:num w:numId="8" w16cid:durableId="292097565">
    <w:abstractNumId w:val="8"/>
  </w:num>
  <w:num w:numId="9" w16cid:durableId="1605960662">
    <w:abstractNumId w:val="19"/>
  </w:num>
  <w:num w:numId="10" w16cid:durableId="923075593">
    <w:abstractNumId w:val="17"/>
  </w:num>
  <w:num w:numId="11" w16cid:durableId="122886760">
    <w:abstractNumId w:val="7"/>
  </w:num>
  <w:num w:numId="12" w16cid:durableId="626358143">
    <w:abstractNumId w:val="10"/>
  </w:num>
  <w:num w:numId="13" w16cid:durableId="1816095216">
    <w:abstractNumId w:val="0"/>
  </w:num>
  <w:num w:numId="14" w16cid:durableId="1458598767">
    <w:abstractNumId w:val="21"/>
  </w:num>
  <w:num w:numId="15" w16cid:durableId="376391252">
    <w:abstractNumId w:val="6"/>
  </w:num>
  <w:num w:numId="16" w16cid:durableId="2145386839">
    <w:abstractNumId w:val="12"/>
  </w:num>
  <w:num w:numId="17" w16cid:durableId="1938100785">
    <w:abstractNumId w:val="4"/>
  </w:num>
  <w:num w:numId="18" w16cid:durableId="1242643244">
    <w:abstractNumId w:val="3"/>
  </w:num>
  <w:num w:numId="19" w16cid:durableId="1443723170">
    <w:abstractNumId w:val="9"/>
  </w:num>
  <w:num w:numId="20" w16cid:durableId="665669304">
    <w:abstractNumId w:val="14"/>
  </w:num>
  <w:num w:numId="21" w16cid:durableId="83378472">
    <w:abstractNumId w:val="5"/>
  </w:num>
  <w:num w:numId="22" w16cid:durableId="17489139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6B"/>
    <w:rsid w:val="000D00CA"/>
    <w:rsid w:val="001106DD"/>
    <w:rsid w:val="00113064"/>
    <w:rsid w:val="001E75B0"/>
    <w:rsid w:val="002B306B"/>
    <w:rsid w:val="002F580B"/>
    <w:rsid w:val="00340788"/>
    <w:rsid w:val="004B14D4"/>
    <w:rsid w:val="00892527"/>
    <w:rsid w:val="00B87045"/>
    <w:rsid w:val="00BB32A0"/>
    <w:rsid w:val="00E51B45"/>
    <w:rsid w:val="00EB177C"/>
    <w:rsid w:val="00F911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3970C"/>
  <w15:docId w15:val="{6275205C-DAAD-4FE0-BB20-650653854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EB177C"/>
    <w:pPr>
      <w:widowControl/>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EB17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TotalTime>
  <Pages>5</Pages>
  <Words>1196</Words>
  <Characters>6822</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Sitaram, Sandeep</dc:creator>
  <cp:keywords/>
  <dc:description/>
  <cp:lastModifiedBy>Sitaram, Sandeep</cp:lastModifiedBy>
  <cp:revision>10</cp:revision>
  <dcterms:created xsi:type="dcterms:W3CDTF">2026-09-22T21:46:00Z</dcterms:created>
  <dcterms:modified xsi:type="dcterms:W3CDTF">2026-09-23T15:40:00Z</dcterms:modified>
</cp:coreProperties>
</file>