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color w:val="0F4C5C"/>
          <w:sz w:val="50"/>
        </w:rPr>
        <w:t>Credit Risk &amp; Loan Default Prediction</w:t>
      </w:r>
    </w:p>
    <w:p>
      <w:pPr>
        <w:spacing w:after="200"/>
        <w:jc w:val="center"/>
      </w:pPr>
      <w:r>
        <w:rPr>
          <w:rFonts w:ascii="Arial" w:hAnsi="Arial"/>
          <w:b/>
          <w:i w:val="0"/>
          <w:color w:val="1F7A8C"/>
          <w:sz w:val="26"/>
        </w:rPr>
        <w:t>for Retail Lending</w:t>
      </w:r>
    </w:p>
    <w:p>
      <w:pPr>
        <w:spacing w:after="20"/>
        <w:jc w:val="center"/>
      </w:pPr>
      <w:r>
        <w:rPr>
          <w:rFonts w:ascii="Arial" w:hAnsi="Arial"/>
          <w:b w:val="0"/>
          <w:i w:val="0"/>
          <w:color w:val="5C6B72"/>
          <w:sz w:val="22"/>
        </w:rPr>
        <w:t>Advanced Apex Project-2  ·  M.Sc. Data Science &amp; Artificial Intelligence</w:t>
      </w:r>
    </w:p>
    <w:p>
      <w:pPr>
        <w:spacing w:after="120"/>
        <w:jc w:val="center"/>
      </w:pPr>
      <w:r>
        <w:rPr>
          <w:rFonts w:ascii="Arial" w:hAnsi="Arial"/>
          <w:b w:val="0"/>
          <w:i/>
          <w:color w:val="5C6B72"/>
          <w:sz w:val="20"/>
        </w:rPr>
        <w:t>Week-2  ·  Project Outline Submission</w:t>
      </w:r>
    </w:p>
    <w:p>
      <w:pPr>
        <w:spacing w:after="240"/>
        <w:pBdr>
          <w:bottom w:val="single" w:sz="18" w:space="3" w:color="0F4C5C"/>
        </w:pBdr>
      </w:pPr>
    </w:p>
    <w:tbl>
      <w:tblPr>
        <w:tblW w:type="auto" w:w="0"/>
        <w:jc w:val="center"/>
        <w:tblLayout w:type="fixed"/>
        <w:tblLook w:firstColumn="1" w:firstRow="1" w:lastColumn="0" w:lastRow="0" w:noHBand="0" w:noVBand="1" w:val="04A0"/>
        <w:tblBorders>
          <w:top w:val="single" w:sz="4" w:space="0" w:color="D3DEE2"/>
          <w:left w:val="single" w:sz="4" w:space="0" w:color="D3DEE2"/>
          <w:bottom w:val="single" w:sz="4" w:space="0" w:color="D3DEE2"/>
          <w:right w:val="single" w:sz="4" w:space="0" w:color="D3DEE2"/>
          <w:insideH w:val="single" w:sz="4" w:space="0" w:color="D3DEE2"/>
          <w:insideV w:val="single" w:sz="4" w:space="0" w:color="D3DEE2"/>
        </w:tblBorders>
      </w:tblPr>
      <w:tblGrid>
        <w:gridCol w:w="4824"/>
        <w:gridCol w:w="4824"/>
      </w:tblGrid>
      <w:tr>
        <w:tc>
          <w:tcPr>
            <w:tcW w:type="dxa" w:w="2736"/>
            <w:shd w:val="clear" w:color="auto" w:fill="0F4C5C"/>
            <w:tcMar>
              <w:top w:w="40" w:type="dxa"/>
              <w:bottom w:w="40" w:type="dxa"/>
              <w:left w:w="90" w:type="dxa"/>
              <w:right w:w="90" w:type="dxa"/>
            </w:tcMar>
            <w:vAlign w:val="center"/>
          </w:tcPr>
          <w:p>
            <w:pPr>
              <w:spacing w:after="0"/>
            </w:pPr>
            <w:r>
              <w:rPr>
                <w:rFonts w:ascii="Arial" w:hAnsi="Arial"/>
                <w:b/>
                <w:i w:val="0"/>
                <w:color w:val="FFFFFF"/>
                <w:sz w:val="20"/>
              </w:rPr>
              <w:t>Field</w:t>
            </w:r>
          </w:p>
        </w:tc>
        <w:tc>
          <w:tcPr>
            <w:tcW w:type="dxa" w:w="6336"/>
            <w:shd w:val="clear" w:color="auto" w:fill="0F4C5C"/>
            <w:tcMar>
              <w:top w:w="40" w:type="dxa"/>
              <w:bottom w:w="40" w:type="dxa"/>
              <w:left w:w="90" w:type="dxa"/>
              <w:right w:w="90" w:type="dxa"/>
            </w:tcMar>
            <w:vAlign w:val="center"/>
          </w:tcPr>
          <w:p>
            <w:pPr>
              <w:spacing w:after="0"/>
            </w:pPr>
            <w:r>
              <w:rPr>
                <w:rFonts w:ascii="Arial" w:hAnsi="Arial"/>
                <w:b/>
                <w:i w:val="0"/>
                <w:color w:val="FFFFFF"/>
                <w:sz w:val="20"/>
              </w:rPr>
              <w:t>Details</w:t>
            </w:r>
          </w:p>
        </w:tc>
      </w:tr>
      <w:tr>
        <w:tc>
          <w:tcPr>
            <w:tcW w:type="dxa" w:w="2736"/>
            <w:shd w:val="clear" w:color="auto" w:fill="EEF4F6"/>
            <w:tcMar>
              <w:top w:w="40" w:type="dxa"/>
              <w:bottom w:w="40" w:type="dxa"/>
              <w:left w:w="90" w:type="dxa"/>
              <w:right w:w="90" w:type="dxa"/>
            </w:tcMar>
            <w:vAlign w:val="center"/>
          </w:tcPr>
          <w:p>
            <w:pPr>
              <w:spacing w:after="0"/>
            </w:pPr>
            <w:r>
              <w:rPr>
                <w:rFonts w:ascii="Arial" w:hAnsi="Arial"/>
                <w:b/>
                <w:i w:val="0"/>
                <w:color w:val="1B2A30"/>
                <w:sz w:val="20"/>
              </w:rPr>
              <w:t>Project Title</w:t>
            </w:r>
          </w:p>
        </w:tc>
        <w:tc>
          <w:tcPr>
            <w:tcW w:type="dxa" w:w="6336"/>
            <w:shd w:val="clear" w:color="auto" w:fill="EEF4F6"/>
            <w:tcMar>
              <w:top w:w="40" w:type="dxa"/>
              <w:bottom w:w="40" w:type="dxa"/>
              <w:left w:w="90" w:type="dxa"/>
              <w:right w:w="90" w:type="dxa"/>
            </w:tcMar>
            <w:vAlign w:val="center"/>
          </w:tcPr>
          <w:p>
            <w:pPr>
              <w:spacing w:after="0"/>
            </w:pPr>
            <w:r>
              <w:rPr>
                <w:rFonts w:ascii="Arial" w:hAnsi="Arial"/>
                <w:b w:val="0"/>
                <w:i w:val="0"/>
                <w:color w:val="1B2A30"/>
                <w:sz w:val="20"/>
              </w:rPr>
              <w:t>Credit Risk &amp; Loan Default Prediction for Retail Lending</w:t>
            </w:r>
          </w:p>
        </w:tc>
      </w:tr>
      <w:tr>
        <w:tc>
          <w:tcPr>
            <w:tcW w:type="dxa" w:w="2736"/>
            <w:tcMar>
              <w:top w:w="40" w:type="dxa"/>
              <w:bottom w:w="40" w:type="dxa"/>
              <w:left w:w="90" w:type="dxa"/>
              <w:right w:w="90" w:type="dxa"/>
            </w:tcMar>
            <w:vAlign w:val="center"/>
          </w:tcPr>
          <w:p>
            <w:pPr>
              <w:spacing w:after="0"/>
            </w:pPr>
            <w:r>
              <w:rPr>
                <w:rFonts w:ascii="Arial" w:hAnsi="Arial"/>
                <w:b/>
                <w:i w:val="0"/>
                <w:color w:val="1B2A30"/>
                <w:sz w:val="20"/>
              </w:rPr>
              <w:t>Problem Statement</w:t>
            </w:r>
          </w:p>
        </w:tc>
        <w:tc>
          <w:tcPr>
            <w:tcW w:type="dxa" w:w="6336"/>
            <w:tcMar>
              <w:top w:w="40" w:type="dxa"/>
              <w:bottom w:w="40" w:type="dxa"/>
              <w:left w:w="90" w:type="dxa"/>
              <w:right w:w="90" w:type="dxa"/>
            </w:tcMar>
            <w:vAlign w:val="center"/>
          </w:tcPr>
          <w:p>
            <w:pPr>
              <w:spacing w:after="0"/>
            </w:pPr>
            <w:r>
              <w:rPr>
                <w:rFonts w:ascii="Arial" w:hAnsi="Arial"/>
                <w:b w:val="0"/>
                <w:i w:val="0"/>
                <w:color w:val="1B2A30"/>
                <w:sz w:val="20"/>
              </w:rPr>
              <w:t>P1 (BFSI) — Credit Risk &amp; Loan Default Prediction</w:t>
            </w:r>
          </w:p>
        </w:tc>
      </w:tr>
      <w:tr>
        <w:tc>
          <w:tcPr>
            <w:tcW w:type="dxa" w:w="2736"/>
            <w:shd w:val="clear" w:color="auto" w:fill="EEF4F6"/>
            <w:tcMar>
              <w:top w:w="40" w:type="dxa"/>
              <w:bottom w:w="40" w:type="dxa"/>
              <w:left w:w="90" w:type="dxa"/>
              <w:right w:w="90" w:type="dxa"/>
            </w:tcMar>
            <w:vAlign w:val="center"/>
          </w:tcPr>
          <w:p>
            <w:pPr>
              <w:spacing w:after="0"/>
            </w:pPr>
            <w:r>
              <w:rPr>
                <w:rFonts w:ascii="Arial" w:hAnsi="Arial"/>
                <w:b/>
                <w:i w:val="0"/>
                <w:color w:val="1B2A30"/>
                <w:sz w:val="20"/>
              </w:rPr>
              <w:t>Student Name</w:t>
            </w:r>
          </w:p>
        </w:tc>
        <w:tc>
          <w:tcPr>
            <w:tcW w:type="dxa" w:w="6336"/>
            <w:shd w:val="clear" w:color="auto" w:fill="EEF4F6"/>
            <w:tcMar>
              <w:top w:w="40" w:type="dxa"/>
              <w:bottom w:w="40" w:type="dxa"/>
              <w:left w:w="90" w:type="dxa"/>
              <w:right w:w="90" w:type="dxa"/>
            </w:tcMar>
            <w:vAlign w:val="center"/>
          </w:tcPr>
          <w:p>
            <w:pPr>
              <w:spacing w:after="0"/>
            </w:pPr>
            <w:r>
              <w:rPr>
                <w:rFonts w:ascii="Arial" w:hAnsi="Arial"/>
                <w:b w:val="0"/>
                <w:i w:val="0"/>
                <w:color w:val="1B2A30"/>
                <w:sz w:val="20"/>
              </w:rPr>
              <w:t>Sandeep Kumar</w:t>
            </w:r>
          </w:p>
        </w:tc>
      </w:tr>
      <w:tr>
        <w:tc>
          <w:tcPr>
            <w:tcW w:type="dxa" w:w="2736"/>
            <w:tcMar>
              <w:top w:w="40" w:type="dxa"/>
              <w:bottom w:w="40" w:type="dxa"/>
              <w:left w:w="90" w:type="dxa"/>
              <w:right w:w="90" w:type="dxa"/>
            </w:tcMar>
            <w:vAlign w:val="center"/>
          </w:tcPr>
          <w:p>
            <w:pPr>
              <w:spacing w:after="0"/>
            </w:pPr>
            <w:r>
              <w:rPr>
                <w:rFonts w:ascii="Arial" w:hAnsi="Arial"/>
                <w:b/>
                <w:i w:val="0"/>
                <w:color w:val="1B2A30"/>
                <w:sz w:val="20"/>
              </w:rPr>
              <w:t>Student ID</w:t>
            </w:r>
          </w:p>
        </w:tc>
        <w:tc>
          <w:tcPr>
            <w:tcW w:type="dxa" w:w="6336"/>
            <w:tcMar>
              <w:top w:w="40" w:type="dxa"/>
              <w:bottom w:w="40" w:type="dxa"/>
              <w:left w:w="90" w:type="dxa"/>
              <w:right w:w="90" w:type="dxa"/>
            </w:tcMar>
            <w:vAlign w:val="center"/>
          </w:tcPr>
          <w:p>
            <w:pPr>
              <w:spacing w:after="0"/>
            </w:pPr>
            <w:r>
              <w:rPr>
                <w:rFonts w:ascii="Arial" w:hAnsi="Arial"/>
                <w:b w:val="0"/>
                <w:i w:val="0"/>
                <w:color w:val="1B2A30"/>
                <w:sz w:val="20"/>
              </w:rPr>
              <w:t>2025EM1200293</w:t>
            </w:r>
          </w:p>
        </w:tc>
      </w:tr>
      <w:tr>
        <w:tc>
          <w:tcPr>
            <w:tcW w:type="dxa" w:w="2736"/>
            <w:shd w:val="clear" w:color="auto" w:fill="EEF4F6"/>
            <w:tcMar>
              <w:top w:w="40" w:type="dxa"/>
              <w:bottom w:w="40" w:type="dxa"/>
              <w:left w:w="90" w:type="dxa"/>
              <w:right w:w="90" w:type="dxa"/>
            </w:tcMar>
            <w:vAlign w:val="center"/>
          </w:tcPr>
          <w:p>
            <w:pPr>
              <w:spacing w:after="0"/>
            </w:pPr>
            <w:r>
              <w:rPr>
                <w:rFonts w:ascii="Arial" w:hAnsi="Arial"/>
                <w:b/>
                <w:i w:val="0"/>
                <w:color w:val="1B2A30"/>
                <w:sz w:val="20"/>
              </w:rPr>
              <w:t>Program</w:t>
            </w:r>
          </w:p>
        </w:tc>
        <w:tc>
          <w:tcPr>
            <w:tcW w:type="dxa" w:w="6336"/>
            <w:shd w:val="clear" w:color="auto" w:fill="EEF4F6"/>
            <w:tcMar>
              <w:top w:w="40" w:type="dxa"/>
              <w:bottom w:w="40" w:type="dxa"/>
              <w:left w:w="90" w:type="dxa"/>
              <w:right w:w="90" w:type="dxa"/>
            </w:tcMar>
            <w:vAlign w:val="center"/>
          </w:tcPr>
          <w:p>
            <w:pPr>
              <w:spacing w:after="0"/>
            </w:pPr>
            <w:r>
              <w:rPr>
                <w:rFonts w:ascii="Arial" w:hAnsi="Arial"/>
                <w:b w:val="0"/>
                <w:i w:val="0"/>
                <w:color w:val="1B2A30"/>
                <w:sz w:val="20"/>
              </w:rPr>
              <w:t>M.Sc. Data Science &amp; Artificial Intelligence</w:t>
            </w:r>
          </w:p>
        </w:tc>
      </w:tr>
      <w:tr>
        <w:tc>
          <w:tcPr>
            <w:tcW w:type="dxa" w:w="2736"/>
            <w:tcMar>
              <w:top w:w="40" w:type="dxa"/>
              <w:bottom w:w="40" w:type="dxa"/>
              <w:left w:w="90" w:type="dxa"/>
              <w:right w:w="90" w:type="dxa"/>
            </w:tcMar>
            <w:vAlign w:val="center"/>
          </w:tcPr>
          <w:p>
            <w:pPr>
              <w:spacing w:after="0"/>
            </w:pPr>
            <w:r>
              <w:rPr>
                <w:rFonts w:ascii="Arial" w:hAnsi="Arial"/>
                <w:b/>
                <w:i w:val="0"/>
                <w:color w:val="1B2A30"/>
                <w:sz w:val="20"/>
              </w:rPr>
              <w:t>Cohort / Trimester</w:t>
            </w:r>
          </w:p>
        </w:tc>
        <w:tc>
          <w:tcPr>
            <w:tcW w:type="dxa" w:w="6336"/>
            <w:tcMar>
              <w:top w:w="40" w:type="dxa"/>
              <w:bottom w:w="40" w:type="dxa"/>
              <w:left w:w="90" w:type="dxa"/>
              <w:right w:w="90" w:type="dxa"/>
            </w:tcMar>
            <w:vAlign w:val="center"/>
          </w:tcPr>
          <w:p>
            <w:pPr>
              <w:spacing w:after="0"/>
            </w:pPr>
            <w:r>
              <w:rPr>
                <w:rFonts w:ascii="Arial" w:hAnsi="Arial"/>
                <w:b w:val="0"/>
                <w:i w:val="0"/>
                <w:color w:val="1B2A30"/>
                <w:sz w:val="20"/>
              </w:rPr>
              <w:t>Cohort-2 / Trimester-3</w:t>
            </w:r>
          </w:p>
        </w:tc>
      </w:tr>
      <w:tr>
        <w:tc>
          <w:tcPr>
            <w:tcW w:type="dxa" w:w="2736"/>
            <w:shd w:val="clear" w:color="auto" w:fill="EEF4F6"/>
            <w:tcMar>
              <w:top w:w="40" w:type="dxa"/>
              <w:bottom w:w="40" w:type="dxa"/>
              <w:left w:w="90" w:type="dxa"/>
              <w:right w:w="90" w:type="dxa"/>
            </w:tcMar>
            <w:vAlign w:val="center"/>
          </w:tcPr>
          <w:p>
            <w:pPr>
              <w:spacing w:after="0"/>
            </w:pPr>
            <w:r>
              <w:rPr>
                <w:rFonts w:ascii="Arial" w:hAnsi="Arial"/>
                <w:b/>
                <w:i w:val="0"/>
                <w:color w:val="1B2A30"/>
                <w:sz w:val="20"/>
              </w:rPr>
              <w:t>Submission</w:t>
            </w:r>
          </w:p>
        </w:tc>
        <w:tc>
          <w:tcPr>
            <w:tcW w:type="dxa" w:w="6336"/>
            <w:shd w:val="clear" w:color="auto" w:fill="EEF4F6"/>
            <w:tcMar>
              <w:top w:w="40" w:type="dxa"/>
              <w:bottom w:w="40" w:type="dxa"/>
              <w:left w:w="90" w:type="dxa"/>
              <w:right w:w="90" w:type="dxa"/>
            </w:tcMar>
            <w:vAlign w:val="center"/>
          </w:tcPr>
          <w:p>
            <w:pPr>
              <w:spacing w:after="0"/>
            </w:pPr>
            <w:r>
              <w:rPr>
                <w:rFonts w:ascii="Arial" w:hAnsi="Arial"/>
                <w:b w:val="0"/>
                <w:i w:val="0"/>
                <w:color w:val="1B2A30"/>
                <w:sz w:val="20"/>
              </w:rPr>
              <w:t>Week-2 — Project Outline</w:t>
            </w:r>
          </w:p>
        </w:tc>
      </w:tr>
      <w:tr>
        <w:tc>
          <w:tcPr>
            <w:tcW w:type="dxa" w:w="2736"/>
            <w:tcMar>
              <w:top w:w="40" w:type="dxa"/>
              <w:bottom w:w="40" w:type="dxa"/>
              <w:left w:w="90" w:type="dxa"/>
              <w:right w:w="90" w:type="dxa"/>
            </w:tcMar>
            <w:vAlign w:val="center"/>
          </w:tcPr>
          <w:p>
            <w:pPr>
              <w:spacing w:after="0"/>
            </w:pPr>
            <w:r>
              <w:rPr>
                <w:rFonts w:ascii="Arial" w:hAnsi="Arial"/>
                <w:b/>
                <w:i w:val="0"/>
                <w:color w:val="1B2A30"/>
                <w:sz w:val="20"/>
              </w:rPr>
              <w:t>Dataset</w:t>
            </w:r>
          </w:p>
        </w:tc>
        <w:tc>
          <w:tcPr>
            <w:tcW w:type="dxa" w:w="6336"/>
            <w:tcMar>
              <w:top w:w="40" w:type="dxa"/>
              <w:bottom w:w="40" w:type="dxa"/>
              <w:left w:w="90" w:type="dxa"/>
              <w:right w:w="90" w:type="dxa"/>
            </w:tcMar>
            <w:vAlign w:val="center"/>
          </w:tcPr>
          <w:p>
            <w:pPr>
              <w:spacing w:after="0"/>
            </w:pPr>
            <w:r>
              <w:rPr>
                <w:rFonts w:ascii="Arial" w:hAnsi="Arial"/>
                <w:b w:val="0"/>
                <w:i w:val="0"/>
                <w:color w:val="1B2A30"/>
                <w:sz w:val="20"/>
              </w:rPr>
              <w:t>German Credit Data — UCI Statlog (1,000 records)</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61"/>
            <w:shd w:val="clear" w:color="auto" w:fill="0F4C5C"/>
            <w:tcMar>
              <w:top w:w="30" w:type="dxa"/>
              <w:bottom w:w="30" w:type="dxa"/>
              <w:left w:w="110" w:type="dxa"/>
              <w:right w:w="110" w:type="dxa"/>
            </w:tcMar>
            <w:vAlign w:val="center"/>
          </w:tcPr>
          <w:p>
            <w:pPr>
              <w:spacing w:after="0"/>
              <w:jc w:val="center"/>
            </w:pPr>
            <w:r>
              <w:rPr>
                <w:rFonts w:ascii="Arial" w:hAnsi="Arial"/>
                <w:b/>
                <w:i w:val="0"/>
                <w:color w:val="FFFFFF"/>
                <w:sz w:val="24"/>
              </w:rPr>
              <w:t>1</w:t>
            </w:r>
          </w:p>
        </w:tc>
        <w:tc>
          <w:tcPr>
            <w:tcW w:type="dxa" w:w="8640"/>
            <w:vAlign w:val="center"/>
          </w:tcPr>
          <w:p>
            <w:pPr>
              <w:spacing w:after="0"/>
              <w:ind w:left="160"/>
            </w:pPr>
            <w:r>
              <w:rPr>
                <w:rFonts w:ascii="Arial" w:hAnsi="Arial"/>
                <w:b/>
                <w:i w:val="0"/>
                <w:color w:val="0F4C5C"/>
                <w:sz w:val="28"/>
              </w:rPr>
              <w:t>Project Title</w:t>
            </w:r>
          </w:p>
        </w:tc>
      </w:tr>
    </w:tbl>
    <w:p>
      <w:pPr>
        <w:spacing w:before="40" w:after="120"/>
        <w:pBdr>
          <w:bottom w:val="single" w:sz="8" w:space="3" w:color="D3DEE2"/>
        </w:pBdr>
      </w:pPr>
    </w:p>
    <w:p>
      <w:pPr>
        <w:spacing w:after="160" w:line="293" w:lineRule="auto"/>
        <w:jc w:val="both"/>
      </w:pPr>
      <w:r>
        <w:rPr>
          <w:rFonts w:ascii="Arial" w:hAnsi="Arial"/>
          <w:b/>
          <w:i w:val="0"/>
          <w:color w:val="1B2A30"/>
          <w:sz w:val="21"/>
        </w:rPr>
        <w:t>Credit Risk &amp; Loan Default Prediction for Retail Lending</w:t>
      </w:r>
      <w:r>
        <w:rPr>
          <w:rFonts w:ascii="Arial" w:hAnsi="Arial"/>
          <w:b w:val="0"/>
          <w:i w:val="0"/>
          <w:color w:val="1B2A30"/>
          <w:sz w:val="21"/>
        </w:rPr>
        <w:t xml:space="preserve"> — a supervised machine-learning study on the German Credit dataset that classifies loan applicants as </w:t>
      </w:r>
      <w:r>
        <w:rPr>
          <w:rFonts w:ascii="Arial" w:hAnsi="Arial"/>
          <w:b w:val="0"/>
          <w:i/>
          <w:color w:val="1B2A30"/>
          <w:sz w:val="21"/>
        </w:rPr>
        <w:t>good</w:t>
      </w:r>
      <w:r>
        <w:rPr>
          <w:rFonts w:ascii="Arial" w:hAnsi="Arial"/>
          <w:b w:val="0"/>
          <w:i w:val="0"/>
          <w:color w:val="1B2A30"/>
          <w:sz w:val="21"/>
        </w:rPr>
        <w:t xml:space="preserve"> (likely to repay) or </w:t>
      </w:r>
      <w:r>
        <w:rPr>
          <w:rFonts w:ascii="Arial" w:hAnsi="Arial"/>
          <w:b w:val="0"/>
          <w:i/>
          <w:color w:val="1B2A30"/>
          <w:sz w:val="21"/>
        </w:rPr>
        <w:t>bad</w:t>
      </w:r>
      <w:r>
        <w:rPr>
          <w:rFonts w:ascii="Arial" w:hAnsi="Arial"/>
          <w:b w:val="0"/>
          <w:i w:val="0"/>
          <w:color w:val="1B2A30"/>
          <w:sz w:val="21"/>
        </w:rPr>
        <w:t xml:space="preserve"> (likely to default).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61"/>
            <w:shd w:val="clear" w:color="auto" w:fill="0F4C5C"/>
            <w:tcMar>
              <w:top w:w="30" w:type="dxa"/>
              <w:bottom w:w="30" w:type="dxa"/>
              <w:left w:w="110" w:type="dxa"/>
              <w:right w:w="110" w:type="dxa"/>
            </w:tcMar>
            <w:vAlign w:val="center"/>
          </w:tcPr>
          <w:p>
            <w:pPr>
              <w:spacing w:after="0"/>
              <w:jc w:val="center"/>
            </w:pPr>
            <w:r>
              <w:rPr>
                <w:rFonts w:ascii="Arial" w:hAnsi="Arial"/>
                <w:b/>
                <w:i w:val="0"/>
                <w:color w:val="FFFFFF"/>
                <w:sz w:val="24"/>
              </w:rPr>
              <w:t>2</w:t>
            </w:r>
          </w:p>
        </w:tc>
        <w:tc>
          <w:tcPr>
            <w:tcW w:type="dxa" w:w="8640"/>
            <w:vAlign w:val="center"/>
          </w:tcPr>
          <w:p>
            <w:pPr>
              <w:spacing w:after="0"/>
              <w:ind w:left="160"/>
            </w:pPr>
            <w:r>
              <w:rPr>
                <w:rFonts w:ascii="Arial" w:hAnsi="Arial"/>
                <w:b/>
                <w:i w:val="0"/>
                <w:color w:val="0F4C5C"/>
                <w:sz w:val="28"/>
              </w:rPr>
              <w:t>Problem Statement</w:t>
            </w:r>
          </w:p>
        </w:tc>
      </w:tr>
    </w:tbl>
    <w:p>
      <w:pPr>
        <w:spacing w:before="40" w:after="120"/>
        <w:pBdr>
          <w:bottom w:val="single" w:sz="8" w:space="3" w:color="D3DEE2"/>
        </w:pBdr>
      </w:pPr>
    </w:p>
    <w:p>
      <w:pPr>
        <w:spacing w:after="160" w:line="293" w:lineRule="auto"/>
        <w:jc w:val="both"/>
      </w:pPr>
      <w:r>
        <w:rPr>
          <w:rFonts w:ascii="Arial" w:hAnsi="Arial"/>
          <w:b w:val="0"/>
          <w:i w:val="0"/>
          <w:color w:val="1B2A30"/>
          <w:sz w:val="21"/>
        </w:rPr>
        <w:t xml:space="preserve">This project addresses </w:t>
      </w:r>
      <w:r>
        <w:rPr>
          <w:rFonts w:ascii="Arial" w:hAnsi="Arial"/>
          <w:b/>
          <w:i w:val="0"/>
          <w:color w:val="1B2A30"/>
          <w:sz w:val="21"/>
        </w:rPr>
        <w:t>Problem Statement P1 (BFSI) — Credit Risk &amp; Loan Default Prediction</w:t>
      </w:r>
      <w:r>
        <w:rPr>
          <w:rFonts w:ascii="Arial" w:hAnsi="Arial"/>
          <w:b w:val="0"/>
          <w:i w:val="0"/>
          <w:color w:val="1B2A30"/>
          <w:sz w:val="21"/>
        </w:rPr>
        <w:t xml:space="preserve"> from the finalized list. Every time a bank sanctions a loan it takes on the risk that the borrower will not pay it back. The task is to learn, from an applicant's financial and personal profile, whether they represent a good or a bad credit risk. It is a binary classification problem, and the dataset it is built on ships with an explicit cost matrix stating that approving a defaulter is five times more damaging than turning away a customer who would have repaid. That asymmetry is the heart of the problem and it drives the modelling choices throughout.</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61"/>
            <w:shd w:val="clear" w:color="auto" w:fill="0F4C5C"/>
            <w:tcMar>
              <w:top w:w="30" w:type="dxa"/>
              <w:bottom w:w="30" w:type="dxa"/>
              <w:left w:w="110" w:type="dxa"/>
              <w:right w:w="110" w:type="dxa"/>
            </w:tcMar>
            <w:vAlign w:val="center"/>
          </w:tcPr>
          <w:p>
            <w:pPr>
              <w:spacing w:after="0"/>
              <w:jc w:val="center"/>
            </w:pPr>
            <w:r>
              <w:rPr>
                <w:rFonts w:ascii="Arial" w:hAnsi="Arial"/>
                <w:b/>
                <w:i w:val="0"/>
                <w:color w:val="FFFFFF"/>
                <w:sz w:val="24"/>
              </w:rPr>
              <w:t>3</w:t>
            </w:r>
          </w:p>
        </w:tc>
        <w:tc>
          <w:tcPr>
            <w:tcW w:type="dxa" w:w="8640"/>
            <w:vAlign w:val="center"/>
          </w:tcPr>
          <w:p>
            <w:pPr>
              <w:spacing w:after="0"/>
              <w:ind w:left="160"/>
            </w:pPr>
            <w:r>
              <w:rPr>
                <w:rFonts w:ascii="Arial" w:hAnsi="Arial"/>
                <w:b/>
                <w:i w:val="0"/>
                <w:color w:val="0F4C5C"/>
                <w:sz w:val="28"/>
              </w:rPr>
              <w:t>Business Goal / Objective</w:t>
            </w:r>
          </w:p>
        </w:tc>
      </w:tr>
    </w:tbl>
    <w:p>
      <w:pPr>
        <w:spacing w:before="40" w:after="120"/>
        <w:pBdr>
          <w:bottom w:val="single" w:sz="8" w:space="3" w:color="D3DEE2"/>
        </w:pBdr>
      </w:pPr>
    </w:p>
    <w:p>
      <w:pPr>
        <w:spacing w:after="160" w:line="293" w:lineRule="auto"/>
        <w:jc w:val="both"/>
      </w:pPr>
      <w:r>
        <w:rPr>
          <w:rFonts w:ascii="Arial" w:hAnsi="Arial"/>
          <w:b w:val="0"/>
          <w:i w:val="0"/>
          <w:color w:val="1B2A30"/>
          <w:sz w:val="21"/>
        </w:rPr>
        <w:t xml:space="preserve">The objective is to build a reliable, interpretable classifier that helps a lender flag high-risk applications before disbursement, so that credit officers can price, restructure, or decline them appropriately. Because a missed defaulter costs far more than a cautious rejection, the model is optimised for </w:t>
      </w:r>
      <w:r>
        <w:rPr>
          <w:rFonts w:ascii="Arial" w:hAnsi="Arial"/>
          <w:b/>
          <w:i w:val="0"/>
          <w:color w:val="1B2A30"/>
          <w:sz w:val="21"/>
        </w:rPr>
        <w:t>recall on the default class and ROC-AUC</w:t>
      </w:r>
      <w:r>
        <w:rPr>
          <w:rFonts w:ascii="Arial" w:hAnsi="Arial"/>
          <w:b w:val="0"/>
          <w:i w:val="0"/>
          <w:color w:val="1B2A30"/>
          <w:sz w:val="21"/>
        </w:rPr>
        <w:t xml:space="preserve"> rather than plain accuracy. A useful secondary goal is transparency: the lender should be able to see </w:t>
      </w:r>
      <w:r>
        <w:rPr>
          <w:rFonts w:ascii="Arial" w:hAnsi="Arial"/>
          <w:b w:val="0"/>
          <w:i/>
          <w:color w:val="1B2A30"/>
          <w:sz w:val="21"/>
        </w:rPr>
        <w:t>why</w:t>
      </w:r>
      <w:r>
        <w:rPr>
          <w:rFonts w:ascii="Arial" w:hAnsi="Arial"/>
          <w:b w:val="0"/>
          <w:i w:val="0"/>
          <w:color w:val="1B2A30"/>
          <w:sz w:val="21"/>
        </w:rPr>
        <w:t xml:space="preserve"> an applicant is flagged, which is why tree-based ensembles — with their feature-importance outputs — are a natural fit. The project is experimentation-oriented; the aim is a well-reasoned, reproducible workflow rather than a deployed system.</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61"/>
            <w:shd w:val="clear" w:color="auto" w:fill="0F4C5C"/>
            <w:tcMar>
              <w:top w:w="30" w:type="dxa"/>
              <w:bottom w:w="30" w:type="dxa"/>
              <w:left w:w="110" w:type="dxa"/>
              <w:right w:w="110" w:type="dxa"/>
            </w:tcMar>
            <w:vAlign w:val="center"/>
          </w:tcPr>
          <w:p>
            <w:pPr>
              <w:spacing w:after="0"/>
              <w:jc w:val="center"/>
            </w:pPr>
            <w:r>
              <w:rPr>
                <w:rFonts w:ascii="Arial" w:hAnsi="Arial"/>
                <w:b/>
                <w:i w:val="0"/>
                <w:color w:val="FFFFFF"/>
                <w:sz w:val="24"/>
              </w:rPr>
              <w:t>4</w:t>
            </w:r>
          </w:p>
        </w:tc>
        <w:tc>
          <w:tcPr>
            <w:tcW w:type="dxa" w:w="8640"/>
            <w:vAlign w:val="center"/>
          </w:tcPr>
          <w:p>
            <w:pPr>
              <w:spacing w:after="0"/>
              <w:ind w:left="160"/>
            </w:pPr>
            <w:r>
              <w:rPr>
                <w:rFonts w:ascii="Arial" w:hAnsi="Arial"/>
                <w:b/>
                <w:i w:val="0"/>
                <w:color w:val="0F4C5C"/>
                <w:sz w:val="28"/>
              </w:rPr>
              <w:t>Dataset Details</w:t>
            </w:r>
          </w:p>
        </w:tc>
      </w:tr>
    </w:tbl>
    <w:p>
      <w:pPr>
        <w:spacing w:before="40" w:after="120"/>
        <w:pBdr>
          <w:bottom w:val="single" w:sz="8" w:space="3" w:color="D3DEE2"/>
        </w:pBdr>
      </w:pPr>
    </w:p>
    <w:tbl>
      <w:tblPr>
        <w:tblW w:type="auto" w:w="0"/>
        <w:tblLayout w:type="fixed"/>
        <w:tblLook w:firstColumn="1" w:firstRow="1" w:lastColumn="0" w:lastRow="0" w:noHBand="0" w:noVBand="1" w:val="04A0"/>
        <w:tblBorders>
          <w:top w:val="single" w:sz="4" w:space="0" w:color="D3DEE2"/>
          <w:left w:val="single" w:sz="4" w:space="0" w:color="D3DEE2"/>
          <w:bottom w:val="single" w:sz="4" w:space="0" w:color="D3DEE2"/>
          <w:right w:val="single" w:sz="4" w:space="0" w:color="D3DEE2"/>
          <w:insideH w:val="single" w:sz="4" w:space="0" w:color="D3DEE2"/>
          <w:insideV w:val="single" w:sz="4" w:space="0" w:color="D3DEE2"/>
        </w:tblBorders>
      </w:tblPr>
      <w:tblGrid>
        <w:gridCol w:w="4824"/>
        <w:gridCol w:w="4824"/>
      </w:tblGrid>
      <w:tr>
        <w:tc>
          <w:tcPr>
            <w:tcW w:type="dxa" w:w="2160"/>
            <w:shd w:val="clear" w:color="auto" w:fill="DDE6E8"/>
            <w:tcMar>
              <w:top w:w="50" w:type="dxa"/>
              <w:bottom w:w="50" w:type="dxa"/>
              <w:left w:w="100" w:type="dxa"/>
              <w:right w:w="100" w:type="dxa"/>
            </w:tcMar>
            <w:vAlign w:val="center"/>
          </w:tcPr>
          <w:p>
            <w:pPr>
              <w:spacing w:after="0" w:line="276" w:lineRule="auto"/>
            </w:pPr>
            <w:r>
              <w:rPr>
                <w:rFonts w:ascii="Arial" w:hAnsi="Arial"/>
                <w:b/>
                <w:i w:val="0"/>
                <w:color w:val="0F4C5C"/>
                <w:sz w:val="20"/>
              </w:rPr>
              <w:t>Name</w:t>
            </w:r>
          </w:p>
        </w:tc>
        <w:tc>
          <w:tcPr>
            <w:tcW w:type="dxa" w:w="6912"/>
            <w:tcMar>
              <w:top w:w="50" w:type="dxa"/>
              <w:bottom w:w="50" w:type="dxa"/>
              <w:left w:w="100" w:type="dxa"/>
              <w:right w:w="100" w:type="dxa"/>
            </w:tcMar>
            <w:vAlign w:val="center"/>
          </w:tcPr>
          <w:p>
            <w:pPr>
              <w:spacing w:after="0" w:line="276" w:lineRule="auto"/>
            </w:pPr>
            <w:r>
              <w:rPr>
                <w:rFonts w:ascii="Arial" w:hAnsi="Arial"/>
                <w:b w:val="0"/>
                <w:i w:val="0"/>
                <w:color w:val="1B2A30"/>
                <w:sz w:val="20"/>
              </w:rPr>
              <w:t>Statlog (German Credit Data)</w:t>
            </w:r>
          </w:p>
        </w:tc>
      </w:tr>
      <w:tr>
        <w:tc>
          <w:tcPr>
            <w:tcW w:type="dxa" w:w="2160"/>
            <w:shd w:val="clear" w:color="auto" w:fill="DDE6E8"/>
            <w:tcMar>
              <w:top w:w="50" w:type="dxa"/>
              <w:bottom w:w="50" w:type="dxa"/>
              <w:left w:w="100" w:type="dxa"/>
              <w:right w:w="100" w:type="dxa"/>
            </w:tcMar>
            <w:vAlign w:val="center"/>
          </w:tcPr>
          <w:p>
            <w:pPr>
              <w:spacing w:after="0" w:line="276" w:lineRule="auto"/>
            </w:pPr>
            <w:r>
              <w:rPr>
                <w:rFonts w:ascii="Arial" w:hAnsi="Arial"/>
                <w:b/>
                <w:i w:val="0"/>
                <w:color w:val="0F4C5C"/>
                <w:sz w:val="20"/>
              </w:rPr>
              <w:t>Source</w:t>
            </w:r>
          </w:p>
        </w:tc>
        <w:tc>
          <w:tcPr>
            <w:tcW w:type="dxa" w:w="6912"/>
            <w:tcMar>
              <w:top w:w="50" w:type="dxa"/>
              <w:bottom w:w="50" w:type="dxa"/>
              <w:left w:w="100" w:type="dxa"/>
              <w:right w:w="100" w:type="dxa"/>
            </w:tcMar>
            <w:vAlign w:val="center"/>
          </w:tcPr>
          <w:p>
            <w:pPr>
              <w:spacing w:after="0" w:line="276" w:lineRule="auto"/>
            </w:pPr>
            <w:r>
              <w:rPr>
                <w:rFonts w:ascii="Arial" w:hAnsi="Arial"/>
                <w:b w:val="0"/>
                <w:i w:val="0"/>
                <w:color w:val="1B2A30"/>
                <w:sz w:val="20"/>
              </w:rPr>
              <w:t>UCI Machine Learning Repository (dataset id 144), donated by Prof. Dr. Hans Hofmann, University of Hamburg</w:t>
            </w:r>
          </w:p>
        </w:tc>
      </w:tr>
      <w:tr>
        <w:tc>
          <w:tcPr>
            <w:tcW w:type="dxa" w:w="2160"/>
            <w:shd w:val="clear" w:color="auto" w:fill="DDE6E8"/>
            <w:tcMar>
              <w:top w:w="50" w:type="dxa"/>
              <w:bottom w:w="50" w:type="dxa"/>
              <w:left w:w="100" w:type="dxa"/>
              <w:right w:w="100" w:type="dxa"/>
            </w:tcMar>
            <w:vAlign w:val="center"/>
          </w:tcPr>
          <w:p>
            <w:pPr>
              <w:spacing w:after="0" w:line="276" w:lineRule="auto"/>
            </w:pPr>
            <w:r>
              <w:rPr>
                <w:rFonts w:ascii="Arial" w:hAnsi="Arial"/>
                <w:b/>
                <w:i w:val="0"/>
                <w:color w:val="0F4C5C"/>
                <w:sz w:val="20"/>
              </w:rPr>
              <w:t>Access</w:t>
            </w:r>
          </w:p>
        </w:tc>
        <w:tc>
          <w:tcPr>
            <w:tcW w:type="dxa" w:w="6912"/>
            <w:tcMar>
              <w:top w:w="50" w:type="dxa"/>
              <w:bottom w:w="50" w:type="dxa"/>
              <w:left w:w="100" w:type="dxa"/>
              <w:right w:w="100" w:type="dxa"/>
            </w:tcMar>
            <w:vAlign w:val="center"/>
          </w:tcPr>
          <w:p>
            <w:pPr>
              <w:spacing w:after="0" w:line="276" w:lineRule="auto"/>
            </w:pPr>
            <w:r>
              <w:rPr>
                <w:rFonts w:ascii="Arial" w:hAnsi="Arial"/>
                <w:b w:val="0"/>
                <w:i w:val="0"/>
                <w:color w:val="1B2A30"/>
                <w:sz w:val="20"/>
              </w:rPr>
              <w:t xml:space="preserve">Loaded with the official </w:t>
            </w:r>
            <w:r>
              <w:rPr>
                <w:rFonts w:ascii="Consolas" w:hAnsi="Consolas"/>
                <w:b w:val="0"/>
                <w:i w:val="0"/>
                <w:color w:val="1B2A30"/>
                <w:sz w:val="19"/>
              </w:rPr>
              <w:t>ucimlrepo</w:t>
            </w:r>
            <w:r>
              <w:rPr>
                <w:rFonts w:ascii="Arial" w:hAnsi="Arial"/>
                <w:b w:val="0"/>
                <w:i w:val="0"/>
                <w:color w:val="1B2A30"/>
                <w:sz w:val="20"/>
              </w:rPr>
              <w:t xml:space="preserve"> package — </w:t>
            </w:r>
            <w:r>
              <w:rPr>
                <w:rFonts w:ascii="Consolas" w:hAnsi="Consolas"/>
                <w:b w:val="0"/>
                <w:i w:val="0"/>
                <w:color w:val="1B2A30"/>
                <w:sz w:val="19"/>
              </w:rPr>
              <w:t>fetch_ucirepo(id=144)</w:t>
            </w:r>
            <w:r>
              <w:rPr>
                <w:rFonts w:ascii="Arial" w:hAnsi="Arial"/>
                <w:b w:val="0"/>
                <w:i w:val="0"/>
                <w:color w:val="1B2A30"/>
                <w:sz w:val="20"/>
              </w:rPr>
              <w:t xml:space="preserve"> — as recommended on the dataset page; a bundled copy is kept as an offline fallback</w:t>
            </w:r>
          </w:p>
        </w:tc>
      </w:tr>
      <w:tr>
        <w:tc>
          <w:tcPr>
            <w:tcW w:type="dxa" w:w="2160"/>
            <w:shd w:val="clear" w:color="auto" w:fill="DDE6E8"/>
            <w:tcMar>
              <w:top w:w="50" w:type="dxa"/>
              <w:bottom w:w="50" w:type="dxa"/>
              <w:left w:w="100" w:type="dxa"/>
              <w:right w:w="100" w:type="dxa"/>
            </w:tcMar>
            <w:vAlign w:val="center"/>
          </w:tcPr>
          <w:p>
            <w:pPr>
              <w:spacing w:after="0" w:line="276" w:lineRule="auto"/>
            </w:pPr>
            <w:r>
              <w:rPr>
                <w:rFonts w:ascii="Arial" w:hAnsi="Arial"/>
                <w:b/>
                <w:i w:val="0"/>
                <w:color w:val="0F4C5C"/>
                <w:sz w:val="20"/>
              </w:rPr>
              <w:t>Reference</w:t>
            </w:r>
          </w:p>
        </w:tc>
        <w:tc>
          <w:tcPr>
            <w:tcW w:type="dxa" w:w="6912"/>
            <w:tcMar>
              <w:top w:w="50" w:type="dxa"/>
              <w:bottom w:w="50" w:type="dxa"/>
              <w:left w:w="100" w:type="dxa"/>
              <w:right w:w="100" w:type="dxa"/>
            </w:tcMar>
            <w:vAlign w:val="center"/>
          </w:tcPr>
          <w:p>
            <w:pPr>
              <w:spacing w:after="0" w:line="276" w:lineRule="auto"/>
            </w:pPr>
            <w:r>
              <w:rPr>
                <w:rFonts w:ascii="Arial" w:hAnsi="Arial"/>
                <w:b w:val="0"/>
                <w:i w:val="0"/>
                <w:color w:val="1B2A30"/>
                <w:sz w:val="20"/>
              </w:rPr>
              <w:t>archive.ics.uci.edu/dataset/144/statlog+german+credit+data</w:t>
            </w:r>
          </w:p>
        </w:tc>
      </w:tr>
      <w:tr>
        <w:tc>
          <w:tcPr>
            <w:tcW w:type="dxa" w:w="2160"/>
            <w:shd w:val="clear" w:color="auto" w:fill="DDE6E8"/>
            <w:tcMar>
              <w:top w:w="50" w:type="dxa"/>
              <w:bottom w:w="50" w:type="dxa"/>
              <w:left w:w="100" w:type="dxa"/>
              <w:right w:w="100" w:type="dxa"/>
            </w:tcMar>
            <w:vAlign w:val="center"/>
          </w:tcPr>
          <w:p>
            <w:pPr>
              <w:spacing w:after="0" w:line="276" w:lineRule="auto"/>
            </w:pPr>
            <w:r>
              <w:rPr>
                <w:rFonts w:ascii="Arial" w:hAnsi="Arial"/>
                <w:b/>
                <w:i w:val="0"/>
                <w:color w:val="0F4C5C"/>
                <w:sz w:val="20"/>
              </w:rPr>
              <w:t>Size</w:t>
            </w:r>
          </w:p>
        </w:tc>
        <w:tc>
          <w:tcPr>
            <w:tcW w:type="dxa" w:w="6912"/>
            <w:tcMar>
              <w:top w:w="50" w:type="dxa"/>
              <w:bottom w:w="50" w:type="dxa"/>
              <w:left w:w="100" w:type="dxa"/>
              <w:right w:w="100" w:type="dxa"/>
            </w:tcMar>
            <w:vAlign w:val="center"/>
          </w:tcPr>
          <w:p>
            <w:pPr>
              <w:spacing w:after="0" w:line="276" w:lineRule="auto"/>
            </w:pPr>
            <w:r>
              <w:rPr>
                <w:rFonts w:ascii="Arial" w:hAnsi="Arial"/>
                <w:b w:val="0"/>
                <w:i w:val="0"/>
                <w:color w:val="1B2A30"/>
                <w:sz w:val="20"/>
              </w:rPr>
              <w:t>1,000 records × 20 predictor attributes + 1 target</w:t>
            </w:r>
          </w:p>
        </w:tc>
      </w:tr>
      <w:tr>
        <w:tc>
          <w:tcPr>
            <w:tcW w:type="dxa" w:w="2160"/>
            <w:shd w:val="clear" w:color="auto" w:fill="DDE6E8"/>
            <w:tcMar>
              <w:top w:w="50" w:type="dxa"/>
              <w:bottom w:w="50" w:type="dxa"/>
              <w:left w:w="100" w:type="dxa"/>
              <w:right w:w="100" w:type="dxa"/>
            </w:tcMar>
            <w:vAlign w:val="center"/>
          </w:tcPr>
          <w:p>
            <w:pPr>
              <w:spacing w:after="0" w:line="276" w:lineRule="auto"/>
            </w:pPr>
            <w:r>
              <w:rPr>
                <w:rFonts w:ascii="Arial" w:hAnsi="Arial"/>
                <w:b/>
                <w:i w:val="0"/>
                <w:color w:val="0F4C5C"/>
                <w:sz w:val="20"/>
              </w:rPr>
              <w:t>Target</w:t>
            </w:r>
          </w:p>
        </w:tc>
        <w:tc>
          <w:tcPr>
            <w:tcW w:type="dxa" w:w="6912"/>
            <w:tcMar>
              <w:top w:w="50" w:type="dxa"/>
              <w:bottom w:w="50" w:type="dxa"/>
              <w:left w:w="100" w:type="dxa"/>
              <w:right w:w="100" w:type="dxa"/>
            </w:tcMar>
            <w:vAlign w:val="center"/>
          </w:tcPr>
          <w:p>
            <w:pPr>
              <w:spacing w:after="0" w:line="276" w:lineRule="auto"/>
            </w:pPr>
            <w:r>
              <w:rPr>
                <w:rFonts w:ascii="Arial" w:hAnsi="Arial"/>
                <w:b w:val="0"/>
                <w:i w:val="0"/>
                <w:color w:val="1B2A30"/>
                <w:sz w:val="20"/>
              </w:rPr>
              <w:t>Originally coded 1 = Good, 2 = Bad; remapped to 0 = Good and 1 = Bad (default), so the positive class is the risk event</w:t>
            </w:r>
          </w:p>
        </w:tc>
      </w:tr>
      <w:tr>
        <w:tc>
          <w:tcPr>
            <w:tcW w:type="dxa" w:w="2160"/>
            <w:shd w:val="clear" w:color="auto" w:fill="DDE6E8"/>
            <w:tcMar>
              <w:top w:w="50" w:type="dxa"/>
              <w:bottom w:w="50" w:type="dxa"/>
              <w:left w:w="100" w:type="dxa"/>
              <w:right w:w="100" w:type="dxa"/>
            </w:tcMar>
            <w:vAlign w:val="center"/>
          </w:tcPr>
          <w:p>
            <w:pPr>
              <w:spacing w:after="0" w:line="276" w:lineRule="auto"/>
            </w:pPr>
            <w:r>
              <w:rPr>
                <w:rFonts w:ascii="Arial" w:hAnsi="Arial"/>
                <w:b/>
                <w:i w:val="0"/>
                <w:color w:val="0F4C5C"/>
                <w:sz w:val="20"/>
              </w:rPr>
              <w:t>Class balance</w:t>
            </w:r>
          </w:p>
        </w:tc>
        <w:tc>
          <w:tcPr>
            <w:tcW w:type="dxa" w:w="6912"/>
            <w:tcMar>
              <w:top w:w="50" w:type="dxa"/>
              <w:bottom w:w="50" w:type="dxa"/>
              <w:left w:w="100" w:type="dxa"/>
              <w:right w:w="100" w:type="dxa"/>
            </w:tcMar>
            <w:vAlign w:val="center"/>
          </w:tcPr>
          <w:p>
            <w:pPr>
              <w:spacing w:after="0" w:line="276" w:lineRule="auto"/>
            </w:pPr>
            <w:r>
              <w:rPr>
                <w:rFonts w:ascii="Arial" w:hAnsi="Arial"/>
                <w:b w:val="0"/>
                <w:i w:val="0"/>
                <w:color w:val="1B2A30"/>
                <w:sz w:val="20"/>
              </w:rPr>
              <w:t>700 good vs 300 bad (≈ 70 / 30) — mildly imbalanced</w:t>
            </w:r>
          </w:p>
        </w:tc>
      </w:tr>
      <w:tr>
        <w:tc>
          <w:tcPr>
            <w:tcW w:type="dxa" w:w="2160"/>
            <w:shd w:val="clear" w:color="auto" w:fill="DDE6E8"/>
            <w:tcMar>
              <w:top w:w="50" w:type="dxa"/>
              <w:bottom w:w="50" w:type="dxa"/>
              <w:left w:w="100" w:type="dxa"/>
              <w:right w:w="100" w:type="dxa"/>
            </w:tcMar>
            <w:vAlign w:val="center"/>
          </w:tcPr>
          <w:p>
            <w:pPr>
              <w:spacing w:after="0" w:line="276" w:lineRule="auto"/>
            </w:pPr>
            <w:r>
              <w:rPr>
                <w:rFonts w:ascii="Arial" w:hAnsi="Arial"/>
                <w:b/>
                <w:i w:val="0"/>
                <w:color w:val="0F4C5C"/>
                <w:sz w:val="20"/>
              </w:rPr>
              <w:t>Feature mix</w:t>
            </w:r>
          </w:p>
        </w:tc>
        <w:tc>
          <w:tcPr>
            <w:tcW w:type="dxa" w:w="6912"/>
            <w:tcMar>
              <w:top w:w="50" w:type="dxa"/>
              <w:bottom w:w="50" w:type="dxa"/>
              <w:left w:w="100" w:type="dxa"/>
              <w:right w:w="100" w:type="dxa"/>
            </w:tcMar>
            <w:vAlign w:val="center"/>
          </w:tcPr>
          <w:p>
            <w:pPr>
              <w:spacing w:after="0" w:line="276" w:lineRule="auto"/>
            </w:pPr>
            <w:r>
              <w:rPr>
                <w:rFonts w:ascii="Arial" w:hAnsi="Arial"/>
                <w:b w:val="0"/>
                <w:i w:val="0"/>
                <w:color w:val="1B2A30"/>
                <w:sz w:val="20"/>
              </w:rPr>
              <w:t>7 numerical + 13 categorical attributes; categoricals are stored as symbolic codes (e.g. A11, A34, A43)</w:t>
            </w:r>
          </w:p>
        </w:tc>
      </w:tr>
    </w:tbl>
    <w:p>
      <w:pPr>
        <w:spacing w:after="40"/>
      </w:pPr>
    </w:p>
    <w:p>
      <w:pPr>
        <w:spacing w:before="80" w:after="60"/>
      </w:pPr>
      <w:r>
        <w:rPr>
          <w:rFonts w:ascii="Arial" w:hAnsi="Arial"/>
          <w:b/>
          <w:i w:val="0"/>
          <w:color w:val="0F4C5C"/>
          <w:sz w:val="22"/>
        </w:rPr>
        <w:t>Data dictionary</w:t>
      </w:r>
    </w:p>
    <w:tbl>
      <w:tblPr>
        <w:tblW w:type="auto" w:w="0"/>
        <w:jc w:val="center"/>
        <w:tblLayout w:type="fixed"/>
        <w:tblLook w:firstColumn="1" w:firstRow="1" w:lastColumn="0" w:lastRow="0" w:noHBand="0" w:noVBand="1" w:val="04A0"/>
        <w:tblBorders>
          <w:top w:val="single" w:sz="4" w:space="0" w:color="D3DEE2"/>
          <w:left w:val="single" w:sz="4" w:space="0" w:color="D3DEE2"/>
          <w:bottom w:val="single" w:sz="4" w:space="0" w:color="D3DEE2"/>
          <w:right w:val="single" w:sz="4" w:space="0" w:color="D3DEE2"/>
          <w:insideH w:val="single" w:sz="4" w:space="0" w:color="D3DEE2"/>
          <w:insideV w:val="single" w:sz="4" w:space="0" w:color="D3DEE2"/>
        </w:tblBorders>
      </w:tblPr>
      <w:tblGrid>
        <w:gridCol w:w="2412"/>
        <w:gridCol w:w="2412"/>
        <w:gridCol w:w="2412"/>
        <w:gridCol w:w="2412"/>
      </w:tblGrid>
      <w:tr>
        <w:tc>
          <w:tcPr>
            <w:tcW w:type="dxa" w:w="576"/>
            <w:shd w:val="clear" w:color="auto" w:fill="0F4C5C"/>
            <w:tcMar>
              <w:top w:w="40" w:type="dxa"/>
              <w:bottom w:w="40" w:type="dxa"/>
              <w:left w:w="90" w:type="dxa"/>
              <w:right w:w="90" w:type="dxa"/>
            </w:tcMar>
            <w:vAlign w:val="center"/>
          </w:tcPr>
          <w:p>
            <w:pPr>
              <w:spacing w:after="0"/>
            </w:pPr>
            <w:r>
              <w:rPr>
                <w:rFonts w:ascii="Arial" w:hAnsi="Arial"/>
                <w:b/>
                <w:i w:val="0"/>
                <w:color w:val="FFFFFF"/>
                <w:sz w:val="19"/>
              </w:rPr>
              <w:t>#</w:t>
            </w:r>
          </w:p>
        </w:tc>
        <w:tc>
          <w:tcPr>
            <w:tcW w:type="dxa" w:w="2808"/>
            <w:shd w:val="clear" w:color="auto" w:fill="0F4C5C"/>
            <w:tcMar>
              <w:top w:w="40" w:type="dxa"/>
              <w:bottom w:w="40" w:type="dxa"/>
              <w:left w:w="90" w:type="dxa"/>
              <w:right w:w="90" w:type="dxa"/>
            </w:tcMar>
            <w:vAlign w:val="center"/>
          </w:tcPr>
          <w:p>
            <w:pPr>
              <w:spacing w:after="0"/>
            </w:pPr>
            <w:r>
              <w:rPr>
                <w:rFonts w:ascii="Arial" w:hAnsi="Arial"/>
                <w:b/>
                <w:i w:val="0"/>
                <w:color w:val="FFFFFF"/>
                <w:sz w:val="19"/>
              </w:rPr>
              <w:t>Feature</w:t>
            </w:r>
          </w:p>
        </w:tc>
        <w:tc>
          <w:tcPr>
            <w:tcW w:type="dxa" w:w="1440"/>
            <w:shd w:val="clear" w:color="auto" w:fill="0F4C5C"/>
            <w:tcMar>
              <w:top w:w="40" w:type="dxa"/>
              <w:bottom w:w="40" w:type="dxa"/>
              <w:left w:w="90" w:type="dxa"/>
              <w:right w:w="90" w:type="dxa"/>
            </w:tcMar>
            <w:vAlign w:val="center"/>
          </w:tcPr>
          <w:p>
            <w:pPr>
              <w:spacing w:after="0"/>
            </w:pPr>
            <w:r>
              <w:rPr>
                <w:rFonts w:ascii="Arial" w:hAnsi="Arial"/>
                <w:b/>
                <w:i w:val="0"/>
                <w:color w:val="FFFFFF"/>
                <w:sz w:val="19"/>
              </w:rPr>
              <w:t>Type</w:t>
            </w:r>
          </w:p>
        </w:tc>
        <w:tc>
          <w:tcPr>
            <w:tcW w:type="dxa" w:w="4536"/>
            <w:shd w:val="clear" w:color="auto" w:fill="0F4C5C"/>
            <w:tcMar>
              <w:top w:w="40" w:type="dxa"/>
              <w:bottom w:w="40" w:type="dxa"/>
              <w:left w:w="90" w:type="dxa"/>
              <w:right w:w="90" w:type="dxa"/>
            </w:tcMar>
            <w:vAlign w:val="center"/>
          </w:tcPr>
          <w:p>
            <w:pPr>
              <w:spacing w:after="0"/>
            </w:pPr>
            <w:r>
              <w:rPr>
                <w:rFonts w:ascii="Arial" w:hAnsi="Arial"/>
                <w:b/>
                <w:i w:val="0"/>
                <w:color w:val="FFFFFF"/>
                <w:sz w:val="19"/>
              </w:rPr>
              <w:t>Description</w:t>
            </w:r>
          </w:p>
        </w:tc>
      </w:tr>
      <w:tr>
        <w:tc>
          <w:tcPr>
            <w:tcW w:type="dxa" w:w="57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1</w:t>
            </w:r>
          </w:p>
        </w:tc>
        <w:tc>
          <w:tcPr>
            <w:tcW w:type="dxa" w:w="2808"/>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status_checking_acct</w:t>
            </w:r>
          </w:p>
        </w:tc>
        <w:tc>
          <w:tcPr>
            <w:tcW w:type="dxa" w:w="1440"/>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categorical</w:t>
            </w:r>
          </w:p>
        </w:tc>
        <w:tc>
          <w:tcPr>
            <w:tcW w:type="dxa" w:w="453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Status of existing checking account</w:t>
            </w:r>
          </w:p>
        </w:tc>
      </w:tr>
      <w:tr>
        <w:tc>
          <w:tcPr>
            <w:tcW w:type="dxa" w:w="576"/>
            <w:tcMar>
              <w:top w:w="40" w:type="dxa"/>
              <w:bottom w:w="40" w:type="dxa"/>
              <w:left w:w="90" w:type="dxa"/>
              <w:right w:w="90" w:type="dxa"/>
            </w:tcMar>
            <w:vAlign w:val="center"/>
          </w:tcPr>
          <w:p>
            <w:pPr>
              <w:spacing w:after="0"/>
            </w:pPr>
            <w:r>
              <w:rPr>
                <w:rFonts w:ascii="Arial" w:hAnsi="Arial"/>
                <w:b w:val="0"/>
                <w:i w:val="0"/>
                <w:color w:val="1B2A30"/>
                <w:sz w:val="18"/>
              </w:rPr>
              <w:t>2</w:t>
            </w:r>
          </w:p>
        </w:tc>
        <w:tc>
          <w:tcPr>
            <w:tcW w:type="dxa" w:w="2808"/>
            <w:tcMar>
              <w:top w:w="40" w:type="dxa"/>
              <w:bottom w:w="40" w:type="dxa"/>
              <w:left w:w="90" w:type="dxa"/>
              <w:right w:w="90" w:type="dxa"/>
            </w:tcMar>
            <w:vAlign w:val="center"/>
          </w:tcPr>
          <w:p>
            <w:pPr>
              <w:spacing w:after="0"/>
            </w:pPr>
            <w:r>
              <w:rPr>
                <w:rFonts w:ascii="Arial" w:hAnsi="Arial"/>
                <w:b w:val="0"/>
                <w:i w:val="0"/>
                <w:color w:val="1B2A30"/>
                <w:sz w:val="18"/>
              </w:rPr>
              <w:t>duration_months</w:t>
            </w:r>
          </w:p>
        </w:tc>
        <w:tc>
          <w:tcPr>
            <w:tcW w:type="dxa" w:w="1440"/>
            <w:tcMar>
              <w:top w:w="40" w:type="dxa"/>
              <w:bottom w:w="40" w:type="dxa"/>
              <w:left w:w="90" w:type="dxa"/>
              <w:right w:w="90" w:type="dxa"/>
            </w:tcMar>
            <w:vAlign w:val="center"/>
          </w:tcPr>
          <w:p>
            <w:pPr>
              <w:spacing w:after="0"/>
            </w:pPr>
            <w:r>
              <w:rPr>
                <w:rFonts w:ascii="Arial" w:hAnsi="Arial"/>
                <w:b w:val="0"/>
                <w:i w:val="0"/>
                <w:color w:val="1B2A30"/>
                <w:sz w:val="18"/>
              </w:rPr>
              <w:t>numerical</w:t>
            </w:r>
          </w:p>
        </w:tc>
        <w:tc>
          <w:tcPr>
            <w:tcW w:type="dxa" w:w="4536"/>
            <w:tcMar>
              <w:top w:w="40" w:type="dxa"/>
              <w:bottom w:w="40" w:type="dxa"/>
              <w:left w:w="90" w:type="dxa"/>
              <w:right w:w="90" w:type="dxa"/>
            </w:tcMar>
            <w:vAlign w:val="center"/>
          </w:tcPr>
          <w:p>
            <w:pPr>
              <w:spacing w:after="0"/>
            </w:pPr>
            <w:r>
              <w:rPr>
                <w:rFonts w:ascii="Arial" w:hAnsi="Arial"/>
                <w:b w:val="0"/>
                <w:i w:val="0"/>
                <w:color w:val="1B2A30"/>
                <w:sz w:val="18"/>
              </w:rPr>
              <w:t>Loan duration in months</w:t>
            </w:r>
          </w:p>
        </w:tc>
      </w:tr>
      <w:tr>
        <w:tc>
          <w:tcPr>
            <w:tcW w:type="dxa" w:w="57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3</w:t>
            </w:r>
          </w:p>
        </w:tc>
        <w:tc>
          <w:tcPr>
            <w:tcW w:type="dxa" w:w="2808"/>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credit_history</w:t>
            </w:r>
          </w:p>
        </w:tc>
        <w:tc>
          <w:tcPr>
            <w:tcW w:type="dxa" w:w="1440"/>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categorical</w:t>
            </w:r>
          </w:p>
        </w:tc>
        <w:tc>
          <w:tcPr>
            <w:tcW w:type="dxa" w:w="453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Past repayment history</w:t>
            </w:r>
          </w:p>
        </w:tc>
      </w:tr>
      <w:tr>
        <w:tc>
          <w:tcPr>
            <w:tcW w:type="dxa" w:w="576"/>
            <w:tcMar>
              <w:top w:w="40" w:type="dxa"/>
              <w:bottom w:w="40" w:type="dxa"/>
              <w:left w:w="90" w:type="dxa"/>
              <w:right w:w="90" w:type="dxa"/>
            </w:tcMar>
            <w:vAlign w:val="center"/>
          </w:tcPr>
          <w:p>
            <w:pPr>
              <w:spacing w:after="0"/>
            </w:pPr>
            <w:r>
              <w:rPr>
                <w:rFonts w:ascii="Arial" w:hAnsi="Arial"/>
                <w:b w:val="0"/>
                <w:i w:val="0"/>
                <w:color w:val="1B2A30"/>
                <w:sz w:val="18"/>
              </w:rPr>
              <w:t>4</w:t>
            </w:r>
          </w:p>
        </w:tc>
        <w:tc>
          <w:tcPr>
            <w:tcW w:type="dxa" w:w="2808"/>
            <w:tcMar>
              <w:top w:w="40" w:type="dxa"/>
              <w:bottom w:w="40" w:type="dxa"/>
              <w:left w:w="90" w:type="dxa"/>
              <w:right w:w="90" w:type="dxa"/>
            </w:tcMar>
            <w:vAlign w:val="center"/>
          </w:tcPr>
          <w:p>
            <w:pPr>
              <w:spacing w:after="0"/>
            </w:pPr>
            <w:r>
              <w:rPr>
                <w:rFonts w:ascii="Arial" w:hAnsi="Arial"/>
                <w:b w:val="0"/>
                <w:i w:val="0"/>
                <w:color w:val="1B2A30"/>
                <w:sz w:val="18"/>
              </w:rPr>
              <w:t>purpose</w:t>
            </w:r>
          </w:p>
        </w:tc>
        <w:tc>
          <w:tcPr>
            <w:tcW w:type="dxa" w:w="1440"/>
            <w:tcMar>
              <w:top w:w="40" w:type="dxa"/>
              <w:bottom w:w="40" w:type="dxa"/>
              <w:left w:w="90" w:type="dxa"/>
              <w:right w:w="90" w:type="dxa"/>
            </w:tcMar>
            <w:vAlign w:val="center"/>
          </w:tcPr>
          <w:p>
            <w:pPr>
              <w:spacing w:after="0"/>
            </w:pPr>
            <w:r>
              <w:rPr>
                <w:rFonts w:ascii="Arial" w:hAnsi="Arial"/>
                <w:b w:val="0"/>
                <w:i w:val="0"/>
                <w:color w:val="1B2A30"/>
                <w:sz w:val="18"/>
              </w:rPr>
              <w:t>categorical</w:t>
            </w:r>
          </w:p>
        </w:tc>
        <w:tc>
          <w:tcPr>
            <w:tcW w:type="dxa" w:w="4536"/>
            <w:tcMar>
              <w:top w:w="40" w:type="dxa"/>
              <w:bottom w:w="40" w:type="dxa"/>
              <w:left w:w="90" w:type="dxa"/>
              <w:right w:w="90" w:type="dxa"/>
            </w:tcMar>
            <w:vAlign w:val="center"/>
          </w:tcPr>
          <w:p>
            <w:pPr>
              <w:spacing w:after="0"/>
            </w:pPr>
            <w:r>
              <w:rPr>
                <w:rFonts w:ascii="Arial" w:hAnsi="Arial"/>
                <w:b w:val="0"/>
                <w:i w:val="0"/>
                <w:color w:val="1B2A30"/>
                <w:sz w:val="18"/>
              </w:rPr>
              <w:t>Purpose of the loan</w:t>
            </w:r>
          </w:p>
        </w:tc>
      </w:tr>
      <w:tr>
        <w:tc>
          <w:tcPr>
            <w:tcW w:type="dxa" w:w="57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5</w:t>
            </w:r>
          </w:p>
        </w:tc>
        <w:tc>
          <w:tcPr>
            <w:tcW w:type="dxa" w:w="2808"/>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credit_amount</w:t>
            </w:r>
          </w:p>
        </w:tc>
        <w:tc>
          <w:tcPr>
            <w:tcW w:type="dxa" w:w="1440"/>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numerical</w:t>
            </w:r>
          </w:p>
        </w:tc>
        <w:tc>
          <w:tcPr>
            <w:tcW w:type="dxa" w:w="453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Credit amount (Deutsche Mark)</w:t>
            </w:r>
          </w:p>
        </w:tc>
      </w:tr>
      <w:tr>
        <w:tc>
          <w:tcPr>
            <w:tcW w:type="dxa" w:w="576"/>
            <w:tcMar>
              <w:top w:w="40" w:type="dxa"/>
              <w:bottom w:w="40" w:type="dxa"/>
              <w:left w:w="90" w:type="dxa"/>
              <w:right w:w="90" w:type="dxa"/>
            </w:tcMar>
            <w:vAlign w:val="center"/>
          </w:tcPr>
          <w:p>
            <w:pPr>
              <w:spacing w:after="0"/>
            </w:pPr>
            <w:r>
              <w:rPr>
                <w:rFonts w:ascii="Arial" w:hAnsi="Arial"/>
                <w:b w:val="0"/>
                <w:i w:val="0"/>
                <w:color w:val="1B2A30"/>
                <w:sz w:val="18"/>
              </w:rPr>
              <w:t>6</w:t>
            </w:r>
          </w:p>
        </w:tc>
        <w:tc>
          <w:tcPr>
            <w:tcW w:type="dxa" w:w="2808"/>
            <w:tcMar>
              <w:top w:w="40" w:type="dxa"/>
              <w:bottom w:w="40" w:type="dxa"/>
              <w:left w:w="90" w:type="dxa"/>
              <w:right w:w="90" w:type="dxa"/>
            </w:tcMar>
            <w:vAlign w:val="center"/>
          </w:tcPr>
          <w:p>
            <w:pPr>
              <w:spacing w:after="0"/>
            </w:pPr>
            <w:r>
              <w:rPr>
                <w:rFonts w:ascii="Arial" w:hAnsi="Arial"/>
                <w:b w:val="0"/>
                <w:i w:val="0"/>
                <w:color w:val="1B2A30"/>
                <w:sz w:val="18"/>
              </w:rPr>
              <w:t>savings_acct</w:t>
            </w:r>
          </w:p>
        </w:tc>
        <w:tc>
          <w:tcPr>
            <w:tcW w:type="dxa" w:w="1440"/>
            <w:tcMar>
              <w:top w:w="40" w:type="dxa"/>
              <w:bottom w:w="40" w:type="dxa"/>
              <w:left w:w="90" w:type="dxa"/>
              <w:right w:w="90" w:type="dxa"/>
            </w:tcMar>
            <w:vAlign w:val="center"/>
          </w:tcPr>
          <w:p>
            <w:pPr>
              <w:spacing w:after="0"/>
            </w:pPr>
            <w:r>
              <w:rPr>
                <w:rFonts w:ascii="Arial" w:hAnsi="Arial"/>
                <w:b w:val="0"/>
                <w:i w:val="0"/>
                <w:color w:val="1B2A30"/>
                <w:sz w:val="18"/>
              </w:rPr>
              <w:t>categorical</w:t>
            </w:r>
          </w:p>
        </w:tc>
        <w:tc>
          <w:tcPr>
            <w:tcW w:type="dxa" w:w="4536"/>
            <w:tcMar>
              <w:top w:w="40" w:type="dxa"/>
              <w:bottom w:w="40" w:type="dxa"/>
              <w:left w:w="90" w:type="dxa"/>
              <w:right w:w="90" w:type="dxa"/>
            </w:tcMar>
            <w:vAlign w:val="center"/>
          </w:tcPr>
          <w:p>
            <w:pPr>
              <w:spacing w:after="0"/>
            </w:pPr>
            <w:r>
              <w:rPr>
                <w:rFonts w:ascii="Arial" w:hAnsi="Arial"/>
                <w:b w:val="0"/>
                <w:i w:val="0"/>
                <w:color w:val="1B2A30"/>
                <w:sz w:val="18"/>
              </w:rPr>
              <w:t>Savings account / bonds</w:t>
            </w:r>
          </w:p>
        </w:tc>
      </w:tr>
      <w:tr>
        <w:tc>
          <w:tcPr>
            <w:tcW w:type="dxa" w:w="57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7</w:t>
            </w:r>
          </w:p>
        </w:tc>
        <w:tc>
          <w:tcPr>
            <w:tcW w:type="dxa" w:w="2808"/>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employment_since</w:t>
            </w:r>
          </w:p>
        </w:tc>
        <w:tc>
          <w:tcPr>
            <w:tcW w:type="dxa" w:w="1440"/>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categorical</w:t>
            </w:r>
          </w:p>
        </w:tc>
        <w:tc>
          <w:tcPr>
            <w:tcW w:type="dxa" w:w="453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Present employment duration</w:t>
            </w:r>
          </w:p>
        </w:tc>
      </w:tr>
      <w:tr>
        <w:tc>
          <w:tcPr>
            <w:tcW w:type="dxa" w:w="576"/>
            <w:tcMar>
              <w:top w:w="40" w:type="dxa"/>
              <w:bottom w:w="40" w:type="dxa"/>
              <w:left w:w="90" w:type="dxa"/>
              <w:right w:w="90" w:type="dxa"/>
            </w:tcMar>
            <w:vAlign w:val="center"/>
          </w:tcPr>
          <w:p>
            <w:pPr>
              <w:spacing w:after="0"/>
            </w:pPr>
            <w:r>
              <w:rPr>
                <w:rFonts w:ascii="Arial" w:hAnsi="Arial"/>
                <w:b w:val="0"/>
                <w:i w:val="0"/>
                <w:color w:val="1B2A30"/>
                <w:sz w:val="18"/>
              </w:rPr>
              <w:t>8</w:t>
            </w:r>
          </w:p>
        </w:tc>
        <w:tc>
          <w:tcPr>
            <w:tcW w:type="dxa" w:w="2808"/>
            <w:tcMar>
              <w:top w:w="40" w:type="dxa"/>
              <w:bottom w:w="40" w:type="dxa"/>
              <w:left w:w="90" w:type="dxa"/>
              <w:right w:w="90" w:type="dxa"/>
            </w:tcMar>
            <w:vAlign w:val="center"/>
          </w:tcPr>
          <w:p>
            <w:pPr>
              <w:spacing w:after="0"/>
            </w:pPr>
            <w:r>
              <w:rPr>
                <w:rFonts w:ascii="Arial" w:hAnsi="Arial"/>
                <w:b w:val="0"/>
                <w:i w:val="0"/>
                <w:color w:val="1B2A30"/>
                <w:sz w:val="18"/>
              </w:rPr>
              <w:t>installment_rate_pct</w:t>
            </w:r>
          </w:p>
        </w:tc>
        <w:tc>
          <w:tcPr>
            <w:tcW w:type="dxa" w:w="1440"/>
            <w:tcMar>
              <w:top w:w="40" w:type="dxa"/>
              <w:bottom w:w="40" w:type="dxa"/>
              <w:left w:w="90" w:type="dxa"/>
              <w:right w:w="90" w:type="dxa"/>
            </w:tcMar>
            <w:vAlign w:val="center"/>
          </w:tcPr>
          <w:p>
            <w:pPr>
              <w:spacing w:after="0"/>
            </w:pPr>
            <w:r>
              <w:rPr>
                <w:rFonts w:ascii="Arial" w:hAnsi="Arial"/>
                <w:b w:val="0"/>
                <w:i w:val="0"/>
                <w:color w:val="1B2A30"/>
                <w:sz w:val="18"/>
              </w:rPr>
              <w:t>numerical</w:t>
            </w:r>
          </w:p>
        </w:tc>
        <w:tc>
          <w:tcPr>
            <w:tcW w:type="dxa" w:w="4536"/>
            <w:tcMar>
              <w:top w:w="40" w:type="dxa"/>
              <w:bottom w:w="40" w:type="dxa"/>
              <w:left w:w="90" w:type="dxa"/>
              <w:right w:w="90" w:type="dxa"/>
            </w:tcMar>
            <w:vAlign w:val="center"/>
          </w:tcPr>
          <w:p>
            <w:pPr>
              <w:spacing w:after="0"/>
            </w:pPr>
            <w:r>
              <w:rPr>
                <w:rFonts w:ascii="Arial" w:hAnsi="Arial"/>
                <w:b w:val="0"/>
                <w:i w:val="0"/>
                <w:color w:val="1B2A30"/>
                <w:sz w:val="18"/>
              </w:rPr>
              <w:t>Installment rate as % of disposable income</w:t>
            </w:r>
          </w:p>
        </w:tc>
      </w:tr>
      <w:tr>
        <w:tc>
          <w:tcPr>
            <w:tcW w:type="dxa" w:w="57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9</w:t>
            </w:r>
          </w:p>
        </w:tc>
        <w:tc>
          <w:tcPr>
            <w:tcW w:type="dxa" w:w="2808"/>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personal_status_sex</w:t>
            </w:r>
          </w:p>
        </w:tc>
        <w:tc>
          <w:tcPr>
            <w:tcW w:type="dxa" w:w="1440"/>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categorical</w:t>
            </w:r>
          </w:p>
        </w:tc>
        <w:tc>
          <w:tcPr>
            <w:tcW w:type="dxa" w:w="453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Personal status and sex</w:t>
            </w:r>
          </w:p>
        </w:tc>
      </w:tr>
      <w:tr>
        <w:tc>
          <w:tcPr>
            <w:tcW w:type="dxa" w:w="576"/>
            <w:tcMar>
              <w:top w:w="40" w:type="dxa"/>
              <w:bottom w:w="40" w:type="dxa"/>
              <w:left w:w="90" w:type="dxa"/>
              <w:right w:w="90" w:type="dxa"/>
            </w:tcMar>
            <w:vAlign w:val="center"/>
          </w:tcPr>
          <w:p>
            <w:pPr>
              <w:spacing w:after="0"/>
            </w:pPr>
            <w:r>
              <w:rPr>
                <w:rFonts w:ascii="Arial" w:hAnsi="Arial"/>
                <w:b w:val="0"/>
                <w:i w:val="0"/>
                <w:color w:val="1B2A30"/>
                <w:sz w:val="18"/>
              </w:rPr>
              <w:t>10</w:t>
            </w:r>
          </w:p>
        </w:tc>
        <w:tc>
          <w:tcPr>
            <w:tcW w:type="dxa" w:w="2808"/>
            <w:tcMar>
              <w:top w:w="40" w:type="dxa"/>
              <w:bottom w:w="40" w:type="dxa"/>
              <w:left w:w="90" w:type="dxa"/>
              <w:right w:w="90" w:type="dxa"/>
            </w:tcMar>
            <w:vAlign w:val="center"/>
          </w:tcPr>
          <w:p>
            <w:pPr>
              <w:spacing w:after="0"/>
            </w:pPr>
            <w:r>
              <w:rPr>
                <w:rFonts w:ascii="Arial" w:hAnsi="Arial"/>
                <w:b w:val="0"/>
                <w:i w:val="0"/>
                <w:color w:val="1B2A30"/>
                <w:sz w:val="18"/>
              </w:rPr>
              <w:t>other_debtors</w:t>
            </w:r>
          </w:p>
        </w:tc>
        <w:tc>
          <w:tcPr>
            <w:tcW w:type="dxa" w:w="1440"/>
            <w:tcMar>
              <w:top w:w="40" w:type="dxa"/>
              <w:bottom w:w="40" w:type="dxa"/>
              <w:left w:w="90" w:type="dxa"/>
              <w:right w:w="90" w:type="dxa"/>
            </w:tcMar>
            <w:vAlign w:val="center"/>
          </w:tcPr>
          <w:p>
            <w:pPr>
              <w:spacing w:after="0"/>
            </w:pPr>
            <w:r>
              <w:rPr>
                <w:rFonts w:ascii="Arial" w:hAnsi="Arial"/>
                <w:b w:val="0"/>
                <w:i w:val="0"/>
                <w:color w:val="1B2A30"/>
                <w:sz w:val="18"/>
              </w:rPr>
              <w:t>categorical</w:t>
            </w:r>
          </w:p>
        </w:tc>
        <w:tc>
          <w:tcPr>
            <w:tcW w:type="dxa" w:w="4536"/>
            <w:tcMar>
              <w:top w:w="40" w:type="dxa"/>
              <w:bottom w:w="40" w:type="dxa"/>
              <w:left w:w="90" w:type="dxa"/>
              <w:right w:w="90" w:type="dxa"/>
            </w:tcMar>
            <w:vAlign w:val="center"/>
          </w:tcPr>
          <w:p>
            <w:pPr>
              <w:spacing w:after="0"/>
            </w:pPr>
            <w:r>
              <w:rPr>
                <w:rFonts w:ascii="Arial" w:hAnsi="Arial"/>
                <w:b w:val="0"/>
                <w:i w:val="0"/>
                <w:color w:val="1B2A30"/>
                <w:sz w:val="18"/>
              </w:rPr>
              <w:t>Other debtors / guarantors</w:t>
            </w:r>
          </w:p>
        </w:tc>
      </w:tr>
      <w:tr>
        <w:tc>
          <w:tcPr>
            <w:tcW w:type="dxa" w:w="57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11</w:t>
            </w:r>
          </w:p>
        </w:tc>
        <w:tc>
          <w:tcPr>
            <w:tcW w:type="dxa" w:w="2808"/>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residence_since</w:t>
            </w:r>
          </w:p>
        </w:tc>
        <w:tc>
          <w:tcPr>
            <w:tcW w:type="dxa" w:w="1440"/>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numerical</w:t>
            </w:r>
          </w:p>
        </w:tc>
        <w:tc>
          <w:tcPr>
            <w:tcW w:type="dxa" w:w="453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Years at present residence</w:t>
            </w:r>
          </w:p>
        </w:tc>
      </w:tr>
      <w:tr>
        <w:tc>
          <w:tcPr>
            <w:tcW w:type="dxa" w:w="576"/>
            <w:tcMar>
              <w:top w:w="40" w:type="dxa"/>
              <w:bottom w:w="40" w:type="dxa"/>
              <w:left w:w="90" w:type="dxa"/>
              <w:right w:w="90" w:type="dxa"/>
            </w:tcMar>
            <w:vAlign w:val="center"/>
          </w:tcPr>
          <w:p>
            <w:pPr>
              <w:spacing w:after="0"/>
            </w:pPr>
            <w:r>
              <w:rPr>
                <w:rFonts w:ascii="Arial" w:hAnsi="Arial"/>
                <w:b w:val="0"/>
                <w:i w:val="0"/>
                <w:color w:val="1B2A30"/>
                <w:sz w:val="18"/>
              </w:rPr>
              <w:t>12</w:t>
            </w:r>
          </w:p>
        </w:tc>
        <w:tc>
          <w:tcPr>
            <w:tcW w:type="dxa" w:w="2808"/>
            <w:tcMar>
              <w:top w:w="40" w:type="dxa"/>
              <w:bottom w:w="40" w:type="dxa"/>
              <w:left w:w="90" w:type="dxa"/>
              <w:right w:w="90" w:type="dxa"/>
            </w:tcMar>
            <w:vAlign w:val="center"/>
          </w:tcPr>
          <w:p>
            <w:pPr>
              <w:spacing w:after="0"/>
            </w:pPr>
            <w:r>
              <w:rPr>
                <w:rFonts w:ascii="Arial" w:hAnsi="Arial"/>
                <w:b w:val="0"/>
                <w:i w:val="0"/>
                <w:color w:val="1B2A30"/>
                <w:sz w:val="18"/>
              </w:rPr>
              <w:t>property</w:t>
            </w:r>
          </w:p>
        </w:tc>
        <w:tc>
          <w:tcPr>
            <w:tcW w:type="dxa" w:w="1440"/>
            <w:tcMar>
              <w:top w:w="40" w:type="dxa"/>
              <w:bottom w:w="40" w:type="dxa"/>
              <w:left w:w="90" w:type="dxa"/>
              <w:right w:w="90" w:type="dxa"/>
            </w:tcMar>
            <w:vAlign w:val="center"/>
          </w:tcPr>
          <w:p>
            <w:pPr>
              <w:spacing w:after="0"/>
            </w:pPr>
            <w:r>
              <w:rPr>
                <w:rFonts w:ascii="Arial" w:hAnsi="Arial"/>
                <w:b w:val="0"/>
                <w:i w:val="0"/>
                <w:color w:val="1B2A30"/>
                <w:sz w:val="18"/>
              </w:rPr>
              <w:t>categorical</w:t>
            </w:r>
          </w:p>
        </w:tc>
        <w:tc>
          <w:tcPr>
            <w:tcW w:type="dxa" w:w="4536"/>
            <w:tcMar>
              <w:top w:w="40" w:type="dxa"/>
              <w:bottom w:w="40" w:type="dxa"/>
              <w:left w:w="90" w:type="dxa"/>
              <w:right w:w="90" w:type="dxa"/>
            </w:tcMar>
            <w:vAlign w:val="center"/>
          </w:tcPr>
          <w:p>
            <w:pPr>
              <w:spacing w:after="0"/>
            </w:pPr>
            <w:r>
              <w:rPr>
                <w:rFonts w:ascii="Arial" w:hAnsi="Arial"/>
                <w:b w:val="0"/>
                <w:i w:val="0"/>
                <w:color w:val="1B2A30"/>
                <w:sz w:val="18"/>
              </w:rPr>
              <w:t>Property owned</w:t>
            </w:r>
          </w:p>
        </w:tc>
      </w:tr>
      <w:tr>
        <w:tc>
          <w:tcPr>
            <w:tcW w:type="dxa" w:w="57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13</w:t>
            </w:r>
          </w:p>
        </w:tc>
        <w:tc>
          <w:tcPr>
            <w:tcW w:type="dxa" w:w="2808"/>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age_years</w:t>
            </w:r>
          </w:p>
        </w:tc>
        <w:tc>
          <w:tcPr>
            <w:tcW w:type="dxa" w:w="1440"/>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numerical</w:t>
            </w:r>
          </w:p>
        </w:tc>
        <w:tc>
          <w:tcPr>
            <w:tcW w:type="dxa" w:w="453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Age in years</w:t>
            </w:r>
          </w:p>
        </w:tc>
      </w:tr>
      <w:tr>
        <w:tc>
          <w:tcPr>
            <w:tcW w:type="dxa" w:w="576"/>
            <w:tcMar>
              <w:top w:w="40" w:type="dxa"/>
              <w:bottom w:w="40" w:type="dxa"/>
              <w:left w:w="90" w:type="dxa"/>
              <w:right w:w="90" w:type="dxa"/>
            </w:tcMar>
            <w:vAlign w:val="center"/>
          </w:tcPr>
          <w:p>
            <w:pPr>
              <w:spacing w:after="0"/>
            </w:pPr>
            <w:r>
              <w:rPr>
                <w:rFonts w:ascii="Arial" w:hAnsi="Arial"/>
                <w:b w:val="0"/>
                <w:i w:val="0"/>
                <w:color w:val="1B2A30"/>
                <w:sz w:val="18"/>
              </w:rPr>
              <w:t>14</w:t>
            </w:r>
          </w:p>
        </w:tc>
        <w:tc>
          <w:tcPr>
            <w:tcW w:type="dxa" w:w="2808"/>
            <w:tcMar>
              <w:top w:w="40" w:type="dxa"/>
              <w:bottom w:w="40" w:type="dxa"/>
              <w:left w:w="90" w:type="dxa"/>
              <w:right w:w="90" w:type="dxa"/>
            </w:tcMar>
            <w:vAlign w:val="center"/>
          </w:tcPr>
          <w:p>
            <w:pPr>
              <w:spacing w:after="0"/>
            </w:pPr>
            <w:r>
              <w:rPr>
                <w:rFonts w:ascii="Arial" w:hAnsi="Arial"/>
                <w:b w:val="0"/>
                <w:i w:val="0"/>
                <w:color w:val="1B2A30"/>
                <w:sz w:val="18"/>
              </w:rPr>
              <w:t>other_installment_plans</w:t>
            </w:r>
          </w:p>
        </w:tc>
        <w:tc>
          <w:tcPr>
            <w:tcW w:type="dxa" w:w="1440"/>
            <w:tcMar>
              <w:top w:w="40" w:type="dxa"/>
              <w:bottom w:w="40" w:type="dxa"/>
              <w:left w:w="90" w:type="dxa"/>
              <w:right w:w="90" w:type="dxa"/>
            </w:tcMar>
            <w:vAlign w:val="center"/>
          </w:tcPr>
          <w:p>
            <w:pPr>
              <w:spacing w:after="0"/>
            </w:pPr>
            <w:r>
              <w:rPr>
                <w:rFonts w:ascii="Arial" w:hAnsi="Arial"/>
                <w:b w:val="0"/>
                <w:i w:val="0"/>
                <w:color w:val="1B2A30"/>
                <w:sz w:val="18"/>
              </w:rPr>
              <w:t>categorical</w:t>
            </w:r>
          </w:p>
        </w:tc>
        <w:tc>
          <w:tcPr>
            <w:tcW w:type="dxa" w:w="4536"/>
            <w:tcMar>
              <w:top w:w="40" w:type="dxa"/>
              <w:bottom w:w="40" w:type="dxa"/>
              <w:left w:w="90" w:type="dxa"/>
              <w:right w:w="90" w:type="dxa"/>
            </w:tcMar>
            <w:vAlign w:val="center"/>
          </w:tcPr>
          <w:p>
            <w:pPr>
              <w:spacing w:after="0"/>
            </w:pPr>
            <w:r>
              <w:rPr>
                <w:rFonts w:ascii="Arial" w:hAnsi="Arial"/>
                <w:b w:val="0"/>
                <w:i w:val="0"/>
                <w:color w:val="1B2A30"/>
                <w:sz w:val="18"/>
              </w:rPr>
              <w:t>Other installment plans</w:t>
            </w:r>
          </w:p>
        </w:tc>
      </w:tr>
      <w:tr>
        <w:tc>
          <w:tcPr>
            <w:tcW w:type="dxa" w:w="57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15</w:t>
            </w:r>
          </w:p>
        </w:tc>
        <w:tc>
          <w:tcPr>
            <w:tcW w:type="dxa" w:w="2808"/>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housing</w:t>
            </w:r>
          </w:p>
        </w:tc>
        <w:tc>
          <w:tcPr>
            <w:tcW w:type="dxa" w:w="1440"/>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categorical</w:t>
            </w:r>
          </w:p>
        </w:tc>
        <w:tc>
          <w:tcPr>
            <w:tcW w:type="dxa" w:w="453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Housing (rent / own / free)</w:t>
            </w:r>
          </w:p>
        </w:tc>
      </w:tr>
      <w:tr>
        <w:tc>
          <w:tcPr>
            <w:tcW w:type="dxa" w:w="576"/>
            <w:tcMar>
              <w:top w:w="40" w:type="dxa"/>
              <w:bottom w:w="40" w:type="dxa"/>
              <w:left w:w="90" w:type="dxa"/>
              <w:right w:w="90" w:type="dxa"/>
            </w:tcMar>
            <w:vAlign w:val="center"/>
          </w:tcPr>
          <w:p>
            <w:pPr>
              <w:spacing w:after="0"/>
            </w:pPr>
            <w:r>
              <w:rPr>
                <w:rFonts w:ascii="Arial" w:hAnsi="Arial"/>
                <w:b w:val="0"/>
                <w:i w:val="0"/>
                <w:color w:val="1B2A30"/>
                <w:sz w:val="18"/>
              </w:rPr>
              <w:t>16</w:t>
            </w:r>
          </w:p>
        </w:tc>
        <w:tc>
          <w:tcPr>
            <w:tcW w:type="dxa" w:w="2808"/>
            <w:tcMar>
              <w:top w:w="40" w:type="dxa"/>
              <w:bottom w:w="40" w:type="dxa"/>
              <w:left w:w="90" w:type="dxa"/>
              <w:right w:w="90" w:type="dxa"/>
            </w:tcMar>
            <w:vAlign w:val="center"/>
          </w:tcPr>
          <w:p>
            <w:pPr>
              <w:spacing w:after="0"/>
            </w:pPr>
            <w:r>
              <w:rPr>
                <w:rFonts w:ascii="Arial" w:hAnsi="Arial"/>
                <w:b w:val="0"/>
                <w:i w:val="0"/>
                <w:color w:val="1B2A30"/>
                <w:sz w:val="18"/>
              </w:rPr>
              <w:t>existing_credits</w:t>
            </w:r>
          </w:p>
        </w:tc>
        <w:tc>
          <w:tcPr>
            <w:tcW w:type="dxa" w:w="1440"/>
            <w:tcMar>
              <w:top w:w="40" w:type="dxa"/>
              <w:bottom w:w="40" w:type="dxa"/>
              <w:left w:w="90" w:type="dxa"/>
              <w:right w:w="90" w:type="dxa"/>
            </w:tcMar>
            <w:vAlign w:val="center"/>
          </w:tcPr>
          <w:p>
            <w:pPr>
              <w:spacing w:after="0"/>
            </w:pPr>
            <w:r>
              <w:rPr>
                <w:rFonts w:ascii="Arial" w:hAnsi="Arial"/>
                <w:b w:val="0"/>
                <w:i w:val="0"/>
                <w:color w:val="1B2A30"/>
                <w:sz w:val="18"/>
              </w:rPr>
              <w:t>numerical</w:t>
            </w:r>
          </w:p>
        </w:tc>
        <w:tc>
          <w:tcPr>
            <w:tcW w:type="dxa" w:w="4536"/>
            <w:tcMar>
              <w:top w:w="40" w:type="dxa"/>
              <w:bottom w:w="40" w:type="dxa"/>
              <w:left w:w="90" w:type="dxa"/>
              <w:right w:w="90" w:type="dxa"/>
            </w:tcMar>
            <w:vAlign w:val="center"/>
          </w:tcPr>
          <w:p>
            <w:pPr>
              <w:spacing w:after="0"/>
            </w:pPr>
            <w:r>
              <w:rPr>
                <w:rFonts w:ascii="Arial" w:hAnsi="Arial"/>
                <w:b w:val="0"/>
                <w:i w:val="0"/>
                <w:color w:val="1B2A30"/>
                <w:sz w:val="18"/>
              </w:rPr>
              <w:t>Number of existing credits at this bank</w:t>
            </w:r>
          </w:p>
        </w:tc>
      </w:tr>
      <w:tr>
        <w:tc>
          <w:tcPr>
            <w:tcW w:type="dxa" w:w="57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17</w:t>
            </w:r>
          </w:p>
        </w:tc>
        <w:tc>
          <w:tcPr>
            <w:tcW w:type="dxa" w:w="2808"/>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job</w:t>
            </w:r>
          </w:p>
        </w:tc>
        <w:tc>
          <w:tcPr>
            <w:tcW w:type="dxa" w:w="1440"/>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categorical</w:t>
            </w:r>
          </w:p>
        </w:tc>
        <w:tc>
          <w:tcPr>
            <w:tcW w:type="dxa" w:w="453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Job / skill level</w:t>
            </w:r>
          </w:p>
        </w:tc>
      </w:tr>
      <w:tr>
        <w:tc>
          <w:tcPr>
            <w:tcW w:type="dxa" w:w="576"/>
            <w:tcMar>
              <w:top w:w="40" w:type="dxa"/>
              <w:bottom w:w="40" w:type="dxa"/>
              <w:left w:w="90" w:type="dxa"/>
              <w:right w:w="90" w:type="dxa"/>
            </w:tcMar>
            <w:vAlign w:val="center"/>
          </w:tcPr>
          <w:p>
            <w:pPr>
              <w:spacing w:after="0"/>
            </w:pPr>
            <w:r>
              <w:rPr>
                <w:rFonts w:ascii="Arial" w:hAnsi="Arial"/>
                <w:b w:val="0"/>
                <w:i w:val="0"/>
                <w:color w:val="1B2A30"/>
                <w:sz w:val="18"/>
              </w:rPr>
              <w:t>18</w:t>
            </w:r>
          </w:p>
        </w:tc>
        <w:tc>
          <w:tcPr>
            <w:tcW w:type="dxa" w:w="2808"/>
            <w:tcMar>
              <w:top w:w="40" w:type="dxa"/>
              <w:bottom w:w="40" w:type="dxa"/>
              <w:left w:w="90" w:type="dxa"/>
              <w:right w:w="90" w:type="dxa"/>
            </w:tcMar>
            <w:vAlign w:val="center"/>
          </w:tcPr>
          <w:p>
            <w:pPr>
              <w:spacing w:after="0"/>
            </w:pPr>
            <w:r>
              <w:rPr>
                <w:rFonts w:ascii="Arial" w:hAnsi="Arial"/>
                <w:b w:val="0"/>
                <w:i w:val="0"/>
                <w:color w:val="1B2A30"/>
                <w:sz w:val="18"/>
              </w:rPr>
              <w:t>num_dependents</w:t>
            </w:r>
          </w:p>
        </w:tc>
        <w:tc>
          <w:tcPr>
            <w:tcW w:type="dxa" w:w="1440"/>
            <w:tcMar>
              <w:top w:w="40" w:type="dxa"/>
              <w:bottom w:w="40" w:type="dxa"/>
              <w:left w:w="90" w:type="dxa"/>
              <w:right w:w="90" w:type="dxa"/>
            </w:tcMar>
            <w:vAlign w:val="center"/>
          </w:tcPr>
          <w:p>
            <w:pPr>
              <w:spacing w:after="0"/>
            </w:pPr>
            <w:r>
              <w:rPr>
                <w:rFonts w:ascii="Arial" w:hAnsi="Arial"/>
                <w:b w:val="0"/>
                <w:i w:val="0"/>
                <w:color w:val="1B2A30"/>
                <w:sz w:val="18"/>
              </w:rPr>
              <w:t>numerical</w:t>
            </w:r>
          </w:p>
        </w:tc>
        <w:tc>
          <w:tcPr>
            <w:tcW w:type="dxa" w:w="4536"/>
            <w:tcMar>
              <w:top w:w="40" w:type="dxa"/>
              <w:bottom w:w="40" w:type="dxa"/>
              <w:left w:w="90" w:type="dxa"/>
              <w:right w:w="90" w:type="dxa"/>
            </w:tcMar>
            <w:vAlign w:val="center"/>
          </w:tcPr>
          <w:p>
            <w:pPr>
              <w:spacing w:after="0"/>
            </w:pPr>
            <w:r>
              <w:rPr>
                <w:rFonts w:ascii="Arial" w:hAnsi="Arial"/>
                <w:b w:val="0"/>
                <w:i w:val="0"/>
                <w:color w:val="1B2A30"/>
                <w:sz w:val="18"/>
              </w:rPr>
              <w:t>People liable for maintenance</w:t>
            </w:r>
          </w:p>
        </w:tc>
      </w:tr>
      <w:tr>
        <w:tc>
          <w:tcPr>
            <w:tcW w:type="dxa" w:w="57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19</w:t>
            </w:r>
          </w:p>
        </w:tc>
        <w:tc>
          <w:tcPr>
            <w:tcW w:type="dxa" w:w="2808"/>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telephone</w:t>
            </w:r>
          </w:p>
        </w:tc>
        <w:tc>
          <w:tcPr>
            <w:tcW w:type="dxa" w:w="1440"/>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categorical</w:t>
            </w:r>
          </w:p>
        </w:tc>
        <w:tc>
          <w:tcPr>
            <w:tcW w:type="dxa" w:w="453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Telephone registered</w:t>
            </w:r>
          </w:p>
        </w:tc>
      </w:tr>
      <w:tr>
        <w:tc>
          <w:tcPr>
            <w:tcW w:type="dxa" w:w="576"/>
            <w:tcMar>
              <w:top w:w="40" w:type="dxa"/>
              <w:bottom w:w="40" w:type="dxa"/>
              <w:left w:w="90" w:type="dxa"/>
              <w:right w:w="90" w:type="dxa"/>
            </w:tcMar>
            <w:vAlign w:val="center"/>
          </w:tcPr>
          <w:p>
            <w:pPr>
              <w:spacing w:after="0"/>
            </w:pPr>
            <w:r>
              <w:rPr>
                <w:rFonts w:ascii="Arial" w:hAnsi="Arial"/>
                <w:b w:val="0"/>
                <w:i w:val="0"/>
                <w:color w:val="1B2A30"/>
                <w:sz w:val="18"/>
              </w:rPr>
              <w:t>20</w:t>
            </w:r>
          </w:p>
        </w:tc>
        <w:tc>
          <w:tcPr>
            <w:tcW w:type="dxa" w:w="2808"/>
            <w:tcMar>
              <w:top w:w="40" w:type="dxa"/>
              <w:bottom w:w="40" w:type="dxa"/>
              <w:left w:w="90" w:type="dxa"/>
              <w:right w:w="90" w:type="dxa"/>
            </w:tcMar>
            <w:vAlign w:val="center"/>
          </w:tcPr>
          <w:p>
            <w:pPr>
              <w:spacing w:after="0"/>
            </w:pPr>
            <w:r>
              <w:rPr>
                <w:rFonts w:ascii="Arial" w:hAnsi="Arial"/>
                <w:b w:val="0"/>
                <w:i w:val="0"/>
                <w:color w:val="1B2A30"/>
                <w:sz w:val="18"/>
              </w:rPr>
              <w:t>foreign_worker</w:t>
            </w:r>
          </w:p>
        </w:tc>
        <w:tc>
          <w:tcPr>
            <w:tcW w:type="dxa" w:w="1440"/>
            <w:tcMar>
              <w:top w:w="40" w:type="dxa"/>
              <w:bottom w:w="40" w:type="dxa"/>
              <w:left w:w="90" w:type="dxa"/>
              <w:right w:w="90" w:type="dxa"/>
            </w:tcMar>
            <w:vAlign w:val="center"/>
          </w:tcPr>
          <w:p>
            <w:pPr>
              <w:spacing w:after="0"/>
            </w:pPr>
            <w:r>
              <w:rPr>
                <w:rFonts w:ascii="Arial" w:hAnsi="Arial"/>
                <w:b w:val="0"/>
                <w:i w:val="0"/>
                <w:color w:val="1B2A30"/>
                <w:sz w:val="18"/>
              </w:rPr>
              <w:t>categorical</w:t>
            </w:r>
          </w:p>
        </w:tc>
        <w:tc>
          <w:tcPr>
            <w:tcW w:type="dxa" w:w="4536"/>
            <w:tcMar>
              <w:top w:w="40" w:type="dxa"/>
              <w:bottom w:w="40" w:type="dxa"/>
              <w:left w:w="90" w:type="dxa"/>
              <w:right w:w="90" w:type="dxa"/>
            </w:tcMar>
            <w:vAlign w:val="center"/>
          </w:tcPr>
          <w:p>
            <w:pPr>
              <w:spacing w:after="0"/>
            </w:pPr>
            <w:r>
              <w:rPr>
                <w:rFonts w:ascii="Arial" w:hAnsi="Arial"/>
                <w:b w:val="0"/>
                <w:i w:val="0"/>
                <w:color w:val="1B2A30"/>
                <w:sz w:val="18"/>
              </w:rPr>
              <w:t>Foreign worker (yes / no)</w:t>
            </w:r>
          </w:p>
        </w:tc>
      </w:tr>
      <w:tr>
        <w:tc>
          <w:tcPr>
            <w:tcW w:type="dxa" w:w="57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w:t>
            </w:r>
          </w:p>
        </w:tc>
        <w:tc>
          <w:tcPr>
            <w:tcW w:type="dxa" w:w="2808"/>
            <w:shd w:val="clear" w:color="auto" w:fill="EEF4F6"/>
            <w:tcMar>
              <w:top w:w="40" w:type="dxa"/>
              <w:bottom w:w="40" w:type="dxa"/>
              <w:left w:w="90" w:type="dxa"/>
              <w:right w:w="90" w:type="dxa"/>
            </w:tcMar>
            <w:vAlign w:val="center"/>
          </w:tcPr>
          <w:p>
            <w:pPr>
              <w:spacing w:after="0"/>
            </w:pPr>
            <w:r>
              <w:rPr>
                <w:rFonts w:ascii="Arial" w:hAnsi="Arial"/>
                <w:b/>
                <w:i w:val="0"/>
                <w:color w:val="1B2A30"/>
                <w:sz w:val="18"/>
              </w:rPr>
              <w:t>credit_risk</w:t>
            </w:r>
            <w:r>
              <w:rPr>
                <w:rFonts w:ascii="Arial" w:hAnsi="Arial"/>
                <w:b w:val="0"/>
                <w:i w:val="0"/>
                <w:color w:val="1B2A30"/>
                <w:sz w:val="18"/>
              </w:rPr>
              <w:t xml:space="preserve"> (target)</w:t>
            </w:r>
          </w:p>
        </w:tc>
        <w:tc>
          <w:tcPr>
            <w:tcW w:type="dxa" w:w="1440"/>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binary</w:t>
            </w:r>
          </w:p>
        </w:tc>
        <w:tc>
          <w:tcPr>
            <w:tcW w:type="dxa" w:w="4536"/>
            <w:shd w:val="clear" w:color="auto" w:fill="EEF4F6"/>
            <w:tcMar>
              <w:top w:w="40" w:type="dxa"/>
              <w:bottom w:w="40" w:type="dxa"/>
              <w:left w:w="90" w:type="dxa"/>
              <w:right w:w="90" w:type="dxa"/>
            </w:tcMar>
            <w:vAlign w:val="center"/>
          </w:tcPr>
          <w:p>
            <w:pPr>
              <w:spacing w:after="0"/>
            </w:pPr>
            <w:r>
              <w:rPr>
                <w:rFonts w:ascii="Arial" w:hAnsi="Arial"/>
                <w:b w:val="0"/>
                <w:i w:val="0"/>
                <w:color w:val="1B2A30"/>
                <w:sz w:val="18"/>
              </w:rPr>
              <w:t>0 = Good, 1 = Bad (default)</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61"/>
            <w:shd w:val="clear" w:color="auto" w:fill="0F4C5C"/>
            <w:tcMar>
              <w:top w:w="30" w:type="dxa"/>
              <w:bottom w:w="30" w:type="dxa"/>
              <w:left w:w="110" w:type="dxa"/>
              <w:right w:w="110" w:type="dxa"/>
            </w:tcMar>
            <w:vAlign w:val="center"/>
          </w:tcPr>
          <w:p>
            <w:pPr>
              <w:spacing w:after="0"/>
              <w:jc w:val="center"/>
            </w:pPr>
            <w:r>
              <w:rPr>
                <w:rFonts w:ascii="Arial" w:hAnsi="Arial"/>
                <w:b/>
                <w:i w:val="0"/>
                <w:color w:val="FFFFFF"/>
                <w:sz w:val="24"/>
              </w:rPr>
              <w:t>5</w:t>
            </w:r>
          </w:p>
        </w:tc>
        <w:tc>
          <w:tcPr>
            <w:tcW w:type="dxa" w:w="8640"/>
            <w:vAlign w:val="center"/>
          </w:tcPr>
          <w:p>
            <w:pPr>
              <w:spacing w:after="0"/>
              <w:ind w:left="160"/>
            </w:pPr>
            <w:r>
              <w:rPr>
                <w:rFonts w:ascii="Arial" w:hAnsi="Arial"/>
                <w:b/>
                <w:i w:val="0"/>
                <w:color w:val="0F4C5C"/>
                <w:sz w:val="28"/>
              </w:rPr>
              <w:t>Initial Understanding of the Dataset</w:t>
            </w:r>
          </w:p>
        </w:tc>
      </w:tr>
    </w:tbl>
    <w:p>
      <w:pPr>
        <w:spacing w:before="40" w:after="120"/>
        <w:pBdr>
          <w:bottom w:val="single" w:sz="8" w:space="3" w:color="D3DEE2"/>
        </w:pBdr>
      </w:pPr>
    </w:p>
    <w:p>
      <w:pPr>
        <w:spacing w:after="160" w:line="293" w:lineRule="auto"/>
        <w:jc w:val="both"/>
      </w:pPr>
      <w:r>
        <w:rPr>
          <w:rFonts w:ascii="Arial" w:hAnsi="Arial"/>
          <w:b w:val="0"/>
          <w:i w:val="0"/>
          <w:color w:val="1B2A30"/>
          <w:sz w:val="21"/>
        </w:rPr>
        <w:t>A first inspection shows the data is unusually clean: there are no missing values and no duplicate rows, so preprocessing can concentrate on encoding and scaling rather than imputation. The main practical challenges are the class imbalance and the coded categorical variables. The imbalance means accuracy is a poor guide — a model that predicts “good” for everyone already reaches 70% — so the evaluation deliberately foregrounds recall and ROC-AUC. The categorical fields arrive as symbolic codes that need decoding and one-hot encoding. Loan size and duration tend to lean toward risk and are correlated, hinting at a useful installment-burden feature later, while most numeric features correlate only weakly with the target on their own — which suggests the predictive power lies in combinations of features, exactly where tree ensembles do well.</w:t>
      </w:r>
    </w:p>
    <w:tbl>
      <w:tblPr>
        <w:tblW w:type="auto" w:w="0"/>
        <w:tblLayout w:type="fixed"/>
        <w:tblLook w:firstColumn="1" w:firstRow="1" w:lastColumn="0" w:lastRow="0" w:noHBand="0" w:noVBand="1" w:val="04A0"/>
      </w:tblPr>
      <w:tblGrid>
        <w:gridCol w:w="9648"/>
      </w:tblGrid>
      <w:tr>
        <w:tc>
          <w:tcPr>
            <w:tcW w:type="dxa" w:w="9360"/>
            <w:shd w:val="clear" w:color="auto" w:fill="EFF5F7"/>
            <w:tcBorders>
              <w:left w:val="single" w:sz="28" w:space="0" w:color="C77D2E"/>
              <w:top w:val="none"/>
              <w:bottom w:val="none"/>
              <w:right w:val="none"/>
            </w:tcBorders>
            <w:tcMar>
              <w:top w:w="120" w:type="dxa"/>
              <w:bottom w:w="120" w:type="dxa"/>
              <w:left w:w="180" w:type="dxa"/>
              <w:right w:w="140" w:type="dxa"/>
            </w:tcMar>
          </w:tcPr>
          <w:p>
            <w:pPr>
              <w:spacing w:after="0" w:line="288" w:lineRule="auto"/>
            </w:pPr>
            <w:r>
              <w:rPr>
                <w:rFonts w:ascii="Arial" w:hAnsi="Arial"/>
                <w:b w:val="0"/>
                <w:i/>
                <w:color w:val="1B2A30"/>
                <w:sz w:val="21"/>
              </w:rPr>
              <w:t>Key modelling driver: the dataset's 5 : 1 cost matrix — misclassifying a bad customer as good is five times costlier than the reverse — means recall on defaulters and ROC-AUC, not raw accuracy, are the metrics that matter.</w:t>
            </w:r>
          </w:p>
        </w:tc>
      </w:tr>
    </w:tbl>
    <w:p>
      <w:pPr>
        <w:spacing w:after="80"/>
      </w:pP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61"/>
            <w:shd w:val="clear" w:color="auto" w:fill="0F4C5C"/>
            <w:tcMar>
              <w:top w:w="30" w:type="dxa"/>
              <w:bottom w:w="30" w:type="dxa"/>
              <w:left w:w="110" w:type="dxa"/>
              <w:right w:w="110" w:type="dxa"/>
            </w:tcMar>
            <w:vAlign w:val="center"/>
          </w:tcPr>
          <w:p>
            <w:pPr>
              <w:spacing w:after="0"/>
              <w:jc w:val="center"/>
            </w:pPr>
            <w:r>
              <w:rPr>
                <w:rFonts w:ascii="Arial" w:hAnsi="Arial"/>
                <w:b/>
                <w:i w:val="0"/>
                <w:color w:val="FFFFFF"/>
                <w:sz w:val="24"/>
              </w:rPr>
              <w:t>6</w:t>
            </w:r>
          </w:p>
        </w:tc>
        <w:tc>
          <w:tcPr>
            <w:tcW w:type="dxa" w:w="8640"/>
            <w:vAlign w:val="center"/>
          </w:tcPr>
          <w:p>
            <w:pPr>
              <w:spacing w:after="0"/>
              <w:ind w:left="160"/>
            </w:pPr>
            <w:r>
              <w:rPr>
                <w:rFonts w:ascii="Arial" w:hAnsi="Arial"/>
                <w:b/>
                <w:i w:val="0"/>
                <w:color w:val="0F4C5C"/>
                <w:sz w:val="28"/>
              </w:rPr>
              <w:t>Proposed Workflow</w:t>
            </w:r>
          </w:p>
        </w:tc>
      </w:tr>
    </w:tbl>
    <w:p>
      <w:pPr>
        <w:spacing w:before="40" w:after="120"/>
        <w:pBdr>
          <w:bottom w:val="single" w:sz="8" w:space="3" w:color="D3DEE2"/>
        </w:pBdr>
      </w:pPr>
    </w:p>
    <w:p>
      <w:pPr>
        <w:spacing w:after="80" w:line="293" w:lineRule="auto"/>
        <w:jc w:val="both"/>
      </w:pPr>
      <w:r>
        <w:rPr>
          <w:rFonts w:ascii="Arial" w:hAnsi="Arial"/>
          <w:b w:val="0"/>
          <w:i w:val="0"/>
          <w:color w:val="1B2A30"/>
          <w:sz w:val="21"/>
        </w:rPr>
        <w:t>The project follows the standard end-to-end pipeline:</w:t>
      </w:r>
    </w:p>
    <w:tbl>
      <w:tblPr>
        <w:tblW w:type="auto" w:w="0"/>
        <w:jc w:val="center"/>
        <w:tblLayout w:type="fixed"/>
        <w:tblLook w:firstColumn="1" w:firstRow="1" w:lastColumn="0" w:lastRow="0" w:noHBand="0" w:noVBand="1" w:val="04A0"/>
        <w:tblBorders>
          <w:top w:val="single" w:sz="4" w:space="0" w:color="D3DEE2"/>
          <w:left w:val="single" w:sz="4" w:space="0" w:color="D3DEE2"/>
          <w:bottom w:val="single" w:sz="4" w:space="0" w:color="D3DEE2"/>
          <w:right w:val="single" w:sz="4" w:space="0" w:color="D3DEE2"/>
          <w:insideH w:val="single" w:sz="4" w:space="0" w:color="D3DEE2"/>
          <w:insideV w:val="single" w:sz="4" w:space="0" w:color="D3DEE2"/>
        </w:tblBorders>
      </w:tblPr>
      <w:tblGrid>
        <w:gridCol w:w="9648"/>
      </w:tblGrid>
      <w:tr>
        <w:tc>
          <w:tcPr>
            <w:tcW w:type="dxa" w:w="8640"/>
            <w:shd w:val="clear" w:color="auto" w:fill="EEF4F6"/>
            <w:tcMar>
              <w:top w:w="100" w:type="dxa"/>
              <w:bottom w:w="100" w:type="dxa"/>
              <w:left w:w="140" w:type="dxa"/>
              <w:right w:w="140" w:type="dxa"/>
            </w:tcMar>
          </w:tcPr>
          <w:p>
            <w:pPr>
              <w:spacing w:after="0" w:line="288" w:lineRule="auto"/>
              <w:jc w:val="center"/>
            </w:pPr>
            <w:r>
              <w:rPr>
                <w:rFonts w:ascii="Arial" w:hAnsi="Arial"/>
                <w:b/>
                <w:i w:val="0"/>
                <w:color w:val="0F4C5C"/>
                <w:sz w:val="19"/>
              </w:rPr>
              <w:t>Data Loading  →  Data Preprocessing  →  EDA  →  Feature Engineering  →  Baseline Model  →  Improved Model(s)  →  Hyperparameter Tuning  →  Model Comparison  →  Evaluation &amp; Interpretation</w:t>
            </w:r>
          </w:p>
        </w:tc>
      </w:tr>
    </w:tbl>
    <w:p>
      <w:pPr>
        <w:spacing w:after="80"/>
      </w:pPr>
    </w:p>
    <w:p>
      <w:pPr>
        <w:spacing w:after="160" w:line="293" w:lineRule="auto"/>
        <w:jc w:val="both"/>
      </w:pPr>
      <w:r>
        <w:rPr>
          <w:rFonts w:ascii="Arial" w:hAnsi="Arial"/>
          <w:b w:val="0"/>
          <w:i w:val="0"/>
          <w:color w:val="1B2A30"/>
          <w:sz w:val="21"/>
        </w:rPr>
        <w:t xml:space="preserve">For Week-2 the emphasis is on the left side of that chain: load the data via </w:t>
      </w:r>
      <w:r>
        <w:rPr>
          <w:rFonts w:ascii="Consolas" w:hAnsi="Consolas"/>
          <w:b w:val="0"/>
          <w:i w:val="0"/>
          <w:color w:val="1B2A30"/>
          <w:sz w:val="20"/>
        </w:rPr>
        <w:t>ucimlrepo</w:t>
      </w:r>
      <w:r>
        <w:rPr>
          <w:rFonts w:ascii="Arial" w:hAnsi="Arial"/>
          <w:b w:val="0"/>
          <w:i w:val="0"/>
          <w:color w:val="1B2A30"/>
          <w:sz w:val="21"/>
        </w:rPr>
        <w:t xml:space="preserve">, run initial inspection, and build an honest baseline inside a leakage-safe pipeline. A </w:t>
      </w:r>
      <w:r>
        <w:rPr>
          <w:rFonts w:ascii="Arial" w:hAnsi="Arial"/>
          <w:b/>
          <w:i w:val="0"/>
          <w:color w:val="1B2A30"/>
          <w:sz w:val="21"/>
        </w:rPr>
        <w:t>Random Forest with default settings</w:t>
      </w:r>
      <w:r>
        <w:rPr>
          <w:rFonts w:ascii="Arial" w:hAnsi="Arial"/>
          <w:b w:val="0"/>
          <w:i w:val="0"/>
          <w:color w:val="1B2A30"/>
          <w:sz w:val="21"/>
        </w:rPr>
        <w:t xml:space="preserve"> serves as the baseline because it is one of the models named for P1, needs little tuning to give a strong first result, and handles the mixed categorical/numeric features comfortably. In Weeks 5 and 9 the focus moves right — engineered features (installment-burden ratio, age bands, credit-per-month), the full ensemble family (Gradient Boosting, AdaBoost, XGBoost, LightGBM) with class-imbalance handling, cross-validated hyperparameter search, and cost-aware threshold selection with feature-importance interpretation.</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61"/>
            <w:shd w:val="clear" w:color="auto" w:fill="0F4C5C"/>
            <w:tcMar>
              <w:top w:w="30" w:type="dxa"/>
              <w:bottom w:w="30" w:type="dxa"/>
              <w:left w:w="110" w:type="dxa"/>
              <w:right w:w="110" w:type="dxa"/>
            </w:tcMar>
            <w:vAlign w:val="center"/>
          </w:tcPr>
          <w:p>
            <w:pPr>
              <w:spacing w:after="0"/>
              <w:jc w:val="center"/>
            </w:pPr>
            <w:r>
              <w:rPr>
                <w:rFonts w:ascii="Arial" w:hAnsi="Arial"/>
                <w:b/>
                <w:i w:val="0"/>
                <w:color w:val="FFFFFF"/>
                <w:sz w:val="24"/>
              </w:rPr>
              <w:t>7</w:t>
            </w:r>
          </w:p>
        </w:tc>
        <w:tc>
          <w:tcPr>
            <w:tcW w:type="dxa" w:w="8640"/>
            <w:vAlign w:val="center"/>
          </w:tcPr>
          <w:p>
            <w:pPr>
              <w:spacing w:after="0"/>
              <w:ind w:left="160"/>
            </w:pPr>
            <w:r>
              <w:rPr>
                <w:rFonts w:ascii="Arial" w:hAnsi="Arial"/>
                <w:b/>
                <w:i w:val="0"/>
                <w:color w:val="0F4C5C"/>
                <w:sz w:val="28"/>
              </w:rPr>
              <w:t>Tools &amp; Technologies</w:t>
            </w:r>
          </w:p>
        </w:tc>
      </w:tr>
    </w:tbl>
    <w:p>
      <w:pPr>
        <w:spacing w:before="40" w:after="120"/>
        <w:pBdr>
          <w:bottom w:val="single" w:sz="8" w:space="3" w:color="D3DEE2"/>
        </w:pBdr>
      </w:pPr>
    </w:p>
    <w:p>
      <w:pPr>
        <w:pStyle w:val="ListBullet"/>
        <w:spacing w:after="60" w:line="276" w:lineRule="auto"/>
      </w:pPr>
      <w:r>
        <w:rPr>
          <w:rFonts w:ascii="Arial" w:hAnsi="Arial"/>
          <w:b/>
          <w:i w:val="0"/>
          <w:color w:val="1B2A30"/>
          <w:sz w:val="21"/>
        </w:rPr>
        <w:t>Language:</w:t>
      </w:r>
      <w:r>
        <w:rPr>
          <w:rFonts w:ascii="Arial" w:hAnsi="Arial"/>
          <w:b w:val="0"/>
          <w:i w:val="0"/>
          <w:color w:val="1B2A30"/>
          <w:sz w:val="21"/>
        </w:rPr>
        <w:t xml:space="preserve"> Python 3</w:t>
      </w:r>
    </w:p>
    <w:p>
      <w:pPr>
        <w:pStyle w:val="ListBullet"/>
        <w:spacing w:after="60" w:line="276" w:lineRule="auto"/>
      </w:pPr>
      <w:r>
        <w:rPr>
          <w:rFonts w:ascii="Arial" w:hAnsi="Arial"/>
          <w:b/>
          <w:i w:val="0"/>
          <w:color w:val="1B2A30"/>
          <w:sz w:val="21"/>
        </w:rPr>
        <w:t>Data access:</w:t>
      </w:r>
      <w:r>
        <w:rPr>
          <w:rFonts w:ascii="Arial" w:hAnsi="Arial"/>
          <w:b w:val="0"/>
          <w:i w:val="0"/>
          <w:color w:val="1B2A30"/>
          <w:sz w:val="21"/>
        </w:rPr>
        <w:t xml:space="preserve"> </w:t>
      </w:r>
      <w:r>
        <w:rPr>
          <w:rFonts w:ascii="Consolas" w:hAnsi="Consolas"/>
          <w:b w:val="0"/>
          <w:i w:val="0"/>
          <w:color w:val="1B2A30"/>
          <w:sz w:val="20"/>
        </w:rPr>
        <w:t>ucimlrepo</w:t>
      </w:r>
    </w:p>
    <w:p>
      <w:pPr>
        <w:pStyle w:val="ListBullet"/>
        <w:spacing w:after="60" w:line="276" w:lineRule="auto"/>
      </w:pPr>
      <w:r>
        <w:rPr>
          <w:rFonts w:ascii="Arial" w:hAnsi="Arial"/>
          <w:b/>
          <w:i w:val="0"/>
          <w:color w:val="1B2A30"/>
          <w:sz w:val="21"/>
        </w:rPr>
        <w:t>Data handling:</w:t>
      </w:r>
      <w:r>
        <w:rPr>
          <w:rFonts w:ascii="Arial" w:hAnsi="Arial"/>
          <w:b w:val="0"/>
          <w:i w:val="0"/>
          <w:color w:val="1B2A30"/>
          <w:sz w:val="21"/>
        </w:rPr>
        <w:t xml:space="preserve"> pandas, NumPy</w:t>
      </w:r>
    </w:p>
    <w:p>
      <w:pPr>
        <w:pStyle w:val="ListBullet"/>
        <w:spacing w:after="60" w:line="276" w:lineRule="auto"/>
      </w:pPr>
      <w:r>
        <w:rPr>
          <w:rFonts w:ascii="Arial" w:hAnsi="Arial"/>
          <w:b/>
          <w:i w:val="0"/>
          <w:color w:val="1B2A30"/>
          <w:sz w:val="21"/>
        </w:rPr>
        <w:t>Visualisation:</w:t>
      </w:r>
      <w:r>
        <w:rPr>
          <w:rFonts w:ascii="Arial" w:hAnsi="Arial"/>
          <w:b w:val="0"/>
          <w:i w:val="0"/>
          <w:color w:val="1B2A30"/>
          <w:sz w:val="21"/>
        </w:rPr>
        <w:t xml:space="preserve"> Matplotlib, Seaborn</w:t>
      </w:r>
    </w:p>
    <w:p>
      <w:pPr>
        <w:pStyle w:val="ListBullet"/>
        <w:spacing w:after="60" w:line="276" w:lineRule="auto"/>
      </w:pPr>
      <w:r>
        <w:rPr>
          <w:rFonts w:ascii="Arial" w:hAnsi="Arial"/>
          <w:b/>
          <w:i w:val="0"/>
          <w:color w:val="1B2A30"/>
          <w:sz w:val="21"/>
        </w:rPr>
        <w:t>Modelling:</w:t>
      </w:r>
      <w:r>
        <w:rPr>
          <w:rFonts w:ascii="Arial" w:hAnsi="Arial"/>
          <w:b w:val="0"/>
          <w:i w:val="0"/>
          <w:color w:val="1B2A30"/>
          <w:sz w:val="21"/>
        </w:rPr>
        <w:t xml:space="preserve"> scikit-learn (Random Forest, Gradient Boosting, AdaBoost, pipelines, </w:t>
      </w:r>
      <w:r>
        <w:rPr>
          <w:rFonts w:ascii="Consolas" w:hAnsi="Consolas"/>
          <w:b w:val="0"/>
          <w:i w:val="0"/>
          <w:color w:val="1B2A30"/>
          <w:sz w:val="20"/>
        </w:rPr>
        <w:t>ColumnTransformer</w:t>
      </w:r>
      <w:r>
        <w:rPr>
          <w:rFonts w:ascii="Arial" w:hAnsi="Arial"/>
          <w:b w:val="0"/>
          <w:i w:val="0"/>
          <w:color w:val="1B2A30"/>
          <w:sz w:val="21"/>
        </w:rPr>
        <w:t xml:space="preserve">, </w:t>
      </w:r>
      <w:r>
        <w:rPr>
          <w:rFonts w:ascii="Consolas" w:hAnsi="Consolas"/>
          <w:b w:val="0"/>
          <w:i w:val="0"/>
          <w:color w:val="1B2A30"/>
          <w:sz w:val="20"/>
        </w:rPr>
        <w:t>GridSearchCV</w:t>
      </w:r>
      <w:r>
        <w:rPr>
          <w:rFonts w:ascii="Arial" w:hAnsi="Arial"/>
          <w:b w:val="0"/>
          <w:i w:val="0"/>
          <w:color w:val="1B2A30"/>
          <w:sz w:val="21"/>
        </w:rPr>
        <w:t xml:space="preserve"> / </w:t>
      </w:r>
      <w:r>
        <w:rPr>
          <w:rFonts w:ascii="Consolas" w:hAnsi="Consolas"/>
          <w:b w:val="0"/>
          <w:i w:val="0"/>
          <w:color w:val="1B2A30"/>
          <w:sz w:val="20"/>
        </w:rPr>
        <w:t>RandomizedSearchCV</w:t>
      </w:r>
      <w:r>
        <w:rPr>
          <w:rFonts w:ascii="Arial" w:hAnsi="Arial"/>
          <w:b w:val="0"/>
          <w:i w:val="0"/>
          <w:color w:val="1B2A30"/>
          <w:sz w:val="21"/>
        </w:rPr>
        <w:t>), XGBoost, LightGBM</w:t>
      </w:r>
    </w:p>
    <w:p>
      <w:pPr>
        <w:pStyle w:val="ListBullet"/>
        <w:spacing w:after="60" w:line="276" w:lineRule="auto"/>
      </w:pPr>
      <w:r>
        <w:rPr>
          <w:rFonts w:ascii="Arial" w:hAnsi="Arial"/>
          <w:b/>
          <w:i w:val="0"/>
          <w:color w:val="1B2A30"/>
          <w:sz w:val="21"/>
        </w:rPr>
        <w:t>Environment:</w:t>
      </w:r>
      <w:r>
        <w:rPr>
          <w:rFonts w:ascii="Arial" w:hAnsi="Arial"/>
          <w:b w:val="0"/>
          <w:i w:val="0"/>
          <w:color w:val="1B2A30"/>
          <w:sz w:val="21"/>
        </w:rPr>
        <w:t xml:space="preserve"> Jupyter Notebook, with a fixed random seed for reproducibility</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61"/>
            <w:shd w:val="clear" w:color="auto" w:fill="0F4C5C"/>
            <w:tcMar>
              <w:top w:w="30" w:type="dxa"/>
              <w:bottom w:w="30" w:type="dxa"/>
              <w:left w:w="110" w:type="dxa"/>
              <w:right w:w="110" w:type="dxa"/>
            </w:tcMar>
            <w:vAlign w:val="center"/>
          </w:tcPr>
          <w:p>
            <w:pPr>
              <w:spacing w:after="0"/>
              <w:jc w:val="center"/>
            </w:pPr>
            <w:r>
              <w:rPr>
                <w:rFonts w:ascii="Arial" w:hAnsi="Arial"/>
                <w:b/>
                <w:i w:val="0"/>
                <w:color w:val="FFFFFF"/>
                <w:sz w:val="24"/>
              </w:rPr>
              <w:t>8</w:t>
            </w:r>
          </w:p>
        </w:tc>
        <w:tc>
          <w:tcPr>
            <w:tcW w:type="dxa" w:w="8640"/>
            <w:vAlign w:val="center"/>
          </w:tcPr>
          <w:p>
            <w:pPr>
              <w:spacing w:after="0"/>
              <w:ind w:left="160"/>
            </w:pPr>
            <w:r>
              <w:rPr>
                <w:rFonts w:ascii="Arial" w:hAnsi="Arial"/>
                <w:b/>
                <w:i w:val="0"/>
                <w:color w:val="0F4C5C"/>
                <w:sz w:val="28"/>
              </w:rPr>
              <w:t>Expected Challenges</w:t>
            </w:r>
          </w:p>
        </w:tc>
      </w:tr>
    </w:tbl>
    <w:p>
      <w:pPr>
        <w:spacing w:before="40" w:after="120"/>
        <w:pBdr>
          <w:bottom w:val="single" w:sz="8" w:space="3" w:color="D3DEE2"/>
        </w:pBdr>
      </w:pPr>
    </w:p>
    <w:p>
      <w:pPr>
        <w:pStyle w:val="ListBullet"/>
        <w:spacing w:after="60" w:line="276" w:lineRule="auto"/>
      </w:pPr>
      <w:r>
        <w:rPr>
          <w:rFonts w:ascii="Arial" w:hAnsi="Arial"/>
          <w:b/>
          <w:i w:val="0"/>
          <w:color w:val="1B2A30"/>
          <w:sz w:val="21"/>
        </w:rPr>
        <w:t>Class imbalance (70 / 30):</w:t>
      </w:r>
      <w:r>
        <w:rPr>
          <w:rFonts w:ascii="Arial" w:hAnsi="Arial"/>
          <w:b w:val="0"/>
          <w:i w:val="0"/>
          <w:color w:val="1B2A30"/>
          <w:sz w:val="21"/>
        </w:rPr>
        <w:t xml:space="preserve"> requires class weighting, resampling (e.g. SMOTE) or threshold tuning, and metrics beyond accuracy.</w:t>
      </w:r>
    </w:p>
    <w:p>
      <w:pPr>
        <w:pStyle w:val="ListBullet"/>
        <w:spacing w:after="60" w:line="276" w:lineRule="auto"/>
      </w:pPr>
      <w:r>
        <w:rPr>
          <w:rFonts w:ascii="Arial" w:hAnsi="Arial"/>
          <w:b/>
          <w:i w:val="0"/>
          <w:color w:val="1B2A30"/>
          <w:sz w:val="21"/>
        </w:rPr>
        <w:t>Cost asymmetry (5 : 1):</w:t>
      </w:r>
      <w:r>
        <w:rPr>
          <w:rFonts w:ascii="Arial" w:hAnsi="Arial"/>
          <w:b w:val="0"/>
          <w:i w:val="0"/>
          <w:color w:val="1B2A30"/>
          <w:sz w:val="21"/>
        </w:rPr>
        <w:t xml:space="preserve"> the decision threshold should reflect that a missed defaulter is far costlier than a cautious rejection, rather than defaulting to 0.5.</w:t>
      </w:r>
    </w:p>
    <w:p>
      <w:pPr>
        <w:pStyle w:val="ListBullet"/>
        <w:spacing w:after="60" w:line="276" w:lineRule="auto"/>
      </w:pPr>
      <w:r>
        <w:rPr>
          <w:rFonts w:ascii="Arial" w:hAnsi="Arial"/>
          <w:b/>
          <w:i w:val="0"/>
          <w:color w:val="1B2A30"/>
          <w:sz w:val="21"/>
        </w:rPr>
        <w:t>Categorical encoding:</w:t>
      </w:r>
      <w:r>
        <w:rPr>
          <w:rFonts w:ascii="Arial" w:hAnsi="Arial"/>
          <w:b w:val="0"/>
          <w:i w:val="0"/>
          <w:color w:val="1B2A30"/>
          <w:sz w:val="21"/>
        </w:rPr>
        <w:t xml:space="preserve"> thirteen coded categorical fields need careful one-hot encoding without inflating dimensionality or leaking information.</w:t>
      </w:r>
    </w:p>
    <w:p>
      <w:pPr>
        <w:pStyle w:val="ListBullet"/>
        <w:spacing w:after="60" w:line="276" w:lineRule="auto"/>
      </w:pPr>
      <w:r>
        <w:rPr>
          <w:rFonts w:ascii="Arial" w:hAnsi="Arial"/>
          <w:b/>
          <w:i w:val="0"/>
          <w:color w:val="1B2A30"/>
          <w:sz w:val="21"/>
        </w:rPr>
        <w:t>Avoiding data leakage:</w:t>
      </w:r>
      <w:r>
        <w:rPr>
          <w:rFonts w:ascii="Arial" w:hAnsi="Arial"/>
          <w:b w:val="0"/>
          <w:i w:val="0"/>
          <w:color w:val="1B2A30"/>
          <w:sz w:val="21"/>
        </w:rPr>
        <w:t xml:space="preserve"> all preprocessing is fitted only on training folds via scikit-learn pipelines.</w:t>
      </w:r>
    </w:p>
    <w:p>
      <w:pPr>
        <w:pStyle w:val="ListBullet"/>
        <w:spacing w:after="60" w:line="276" w:lineRule="auto"/>
      </w:pPr>
      <w:r>
        <w:rPr>
          <w:rFonts w:ascii="Arial" w:hAnsi="Arial"/>
          <w:b/>
          <w:i w:val="0"/>
          <w:color w:val="1B2A30"/>
          <w:sz w:val="21"/>
        </w:rPr>
        <w:t>Modest signal per feature:</w:t>
      </w:r>
      <w:r>
        <w:rPr>
          <w:rFonts w:ascii="Arial" w:hAnsi="Arial"/>
          <w:b w:val="0"/>
          <w:i w:val="0"/>
          <w:color w:val="1B2A30"/>
          <w:sz w:val="21"/>
        </w:rPr>
        <w:t xml:space="preserve"> individual correlations are weak, so the gains will come from ensembles and engineered interaction features rather than any single variable.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61"/>
            <w:shd w:val="clear" w:color="auto" w:fill="0F4C5C"/>
            <w:tcMar>
              <w:top w:w="30" w:type="dxa"/>
              <w:bottom w:w="30" w:type="dxa"/>
              <w:left w:w="110" w:type="dxa"/>
              <w:right w:w="110" w:type="dxa"/>
            </w:tcMar>
            <w:vAlign w:val="center"/>
          </w:tcPr>
          <w:p>
            <w:pPr>
              <w:spacing w:after="0"/>
              <w:jc w:val="center"/>
            </w:pPr>
            <w:r>
              <w:rPr>
                <w:rFonts w:ascii="Arial" w:hAnsi="Arial"/>
                <w:b/>
                <w:i w:val="0"/>
                <w:color w:val="FFFFFF"/>
                <w:sz w:val="24"/>
              </w:rPr>
              <w:t>9</w:t>
            </w:r>
          </w:p>
        </w:tc>
        <w:tc>
          <w:tcPr>
            <w:tcW w:type="dxa" w:w="8640"/>
            <w:vAlign w:val="center"/>
          </w:tcPr>
          <w:p>
            <w:pPr>
              <w:spacing w:after="0"/>
              <w:ind w:left="160"/>
            </w:pPr>
            <w:r>
              <w:rPr>
                <w:rFonts w:ascii="Arial" w:hAnsi="Arial"/>
                <w:b/>
                <w:i w:val="0"/>
                <w:color w:val="0F4C5C"/>
                <w:sz w:val="28"/>
              </w:rPr>
              <w:t>References / Dataset Sources</w:t>
            </w:r>
          </w:p>
        </w:tc>
      </w:tr>
    </w:tbl>
    <w:p>
      <w:pPr>
        <w:spacing w:before="40" w:after="120"/>
        <w:pBdr>
          <w:bottom w:val="single" w:sz="8" w:space="3" w:color="D3DEE2"/>
        </w:pBdr>
      </w:pPr>
    </w:p>
    <w:p>
      <w:pPr>
        <w:spacing w:after="80" w:line="276" w:lineRule="auto"/>
        <w:ind w:left="320" w:hanging="320"/>
      </w:pPr>
      <w:r>
        <w:rPr>
          <w:rFonts w:ascii="Arial" w:hAnsi="Arial"/>
          <w:b/>
          <w:i w:val="0"/>
          <w:color w:val="0F4C5C"/>
          <w:sz w:val="21"/>
        </w:rPr>
        <w:t xml:space="preserve">1.  </w:t>
      </w:r>
      <w:r>
        <w:rPr>
          <w:rFonts w:ascii="Arial" w:hAnsi="Arial"/>
          <w:b w:val="0"/>
          <w:i w:val="0"/>
          <w:color w:val="1B2A30"/>
          <w:sz w:val="21"/>
        </w:rPr>
        <w:t xml:space="preserve">Hofmann, H. </w:t>
      </w:r>
      <w:r>
        <w:rPr>
          <w:rFonts w:ascii="Arial" w:hAnsi="Arial"/>
          <w:b w:val="0"/>
          <w:i/>
          <w:color w:val="1B2A30"/>
          <w:sz w:val="21"/>
        </w:rPr>
        <w:t>Statlog (German Credit Data)</w:t>
      </w:r>
      <w:r>
        <w:rPr>
          <w:rFonts w:ascii="Arial" w:hAnsi="Arial"/>
          <w:b w:val="0"/>
          <w:i w:val="0"/>
          <w:color w:val="1B2A30"/>
          <w:sz w:val="21"/>
        </w:rPr>
        <w:t>, UCI Machine Learning Repository. archive.ics.uci.edu/dataset/144/statlog+german+credit+data</w:t>
      </w:r>
    </w:p>
    <w:p>
      <w:pPr>
        <w:spacing w:after="80" w:line="276" w:lineRule="auto"/>
        <w:ind w:left="320" w:hanging="320"/>
      </w:pPr>
      <w:r>
        <w:rPr>
          <w:rFonts w:ascii="Arial" w:hAnsi="Arial"/>
          <w:b/>
          <w:i w:val="0"/>
          <w:color w:val="0F4C5C"/>
          <w:sz w:val="21"/>
        </w:rPr>
        <w:t xml:space="preserve">2.  </w:t>
      </w:r>
      <w:r>
        <w:rPr>
          <w:rFonts w:ascii="Consolas" w:hAnsi="Consolas"/>
          <w:b w:val="0"/>
          <w:i w:val="0"/>
          <w:color w:val="1B2A30"/>
          <w:sz w:val="20"/>
        </w:rPr>
        <w:t>ucimlrepo</w:t>
      </w:r>
      <w:r>
        <w:rPr>
          <w:rFonts w:ascii="Arial" w:hAnsi="Arial"/>
          <w:b w:val="0"/>
          <w:i w:val="0"/>
          <w:color w:val="1B2A30"/>
          <w:sz w:val="21"/>
        </w:rPr>
        <w:t xml:space="preserve"> package. github.com/uci-ml-repo/ucimlrepo</w:t>
      </w:r>
    </w:p>
    <w:p>
      <w:pPr>
        <w:spacing w:after="80" w:line="276" w:lineRule="auto"/>
        <w:ind w:left="320" w:hanging="320"/>
      </w:pPr>
      <w:r>
        <w:rPr>
          <w:rFonts w:ascii="Arial" w:hAnsi="Arial"/>
          <w:b/>
          <w:i w:val="0"/>
          <w:color w:val="0F4C5C"/>
          <w:sz w:val="21"/>
        </w:rPr>
        <w:t xml:space="preserve">3.  </w:t>
      </w:r>
      <w:r>
        <w:rPr>
          <w:rFonts w:ascii="Arial" w:hAnsi="Arial"/>
          <w:b w:val="0"/>
          <w:i w:val="0"/>
          <w:color w:val="1B2A30"/>
          <w:sz w:val="21"/>
        </w:rPr>
        <w:t xml:space="preserve">Pedregosa, F. et al. (2011). </w:t>
      </w:r>
      <w:r>
        <w:rPr>
          <w:rFonts w:ascii="Arial" w:hAnsi="Arial"/>
          <w:b w:val="0"/>
          <w:i/>
          <w:color w:val="1B2A30"/>
          <w:sz w:val="21"/>
        </w:rPr>
        <w:t>Scikit-learn: Machine Learning in Python.</w:t>
      </w:r>
      <w:r>
        <w:rPr>
          <w:rFonts w:ascii="Arial" w:hAnsi="Arial"/>
          <w:b w:val="0"/>
          <w:i w:val="0"/>
          <w:color w:val="1B2A30"/>
          <w:sz w:val="21"/>
        </w:rPr>
        <w:t xml:space="preserve"> Journal of Machine Learning Research, 12, 2825–2830.</w:t>
      </w:r>
    </w:p>
    <w:p>
      <w:pPr>
        <w:spacing w:after="80" w:line="276" w:lineRule="auto"/>
        <w:ind w:left="320" w:hanging="320"/>
      </w:pPr>
      <w:r>
        <w:rPr>
          <w:rFonts w:ascii="Arial" w:hAnsi="Arial"/>
          <w:b/>
          <w:i w:val="0"/>
          <w:color w:val="0F4C5C"/>
          <w:sz w:val="21"/>
        </w:rPr>
        <w:t xml:space="preserve">4.  </w:t>
      </w:r>
      <w:r>
        <w:rPr>
          <w:rFonts w:ascii="Arial" w:hAnsi="Arial"/>
          <w:b w:val="0"/>
          <w:i w:val="0"/>
          <w:color w:val="1B2A30"/>
          <w:sz w:val="21"/>
        </w:rPr>
        <w:t xml:space="preserve">Chen, T. &amp; Guestrin, C. (2016). </w:t>
      </w:r>
      <w:r>
        <w:rPr>
          <w:rFonts w:ascii="Arial" w:hAnsi="Arial"/>
          <w:b w:val="0"/>
          <w:i/>
          <w:color w:val="1B2A30"/>
          <w:sz w:val="21"/>
        </w:rPr>
        <w:t>XGBoost: A Scalable Tree Boosting System.</w:t>
      </w:r>
      <w:r>
        <w:rPr>
          <w:rFonts w:ascii="Arial" w:hAnsi="Arial"/>
          <w:b w:val="0"/>
          <w:i w:val="0"/>
          <w:color w:val="1B2A30"/>
          <w:sz w:val="21"/>
        </w:rPr>
        <w:t xml:space="preserve"> Proceedings of KDD '16.</w:t>
      </w:r>
    </w:p>
    <w:p>
      <w:pPr>
        <w:spacing w:after="80" w:line="276" w:lineRule="auto"/>
        <w:ind w:left="320" w:hanging="320"/>
      </w:pPr>
      <w:r>
        <w:rPr>
          <w:rFonts w:ascii="Arial" w:hAnsi="Arial"/>
          <w:b/>
          <w:i w:val="0"/>
          <w:color w:val="0F4C5C"/>
          <w:sz w:val="21"/>
        </w:rPr>
        <w:t xml:space="preserve">5.  </w:t>
      </w:r>
      <w:r>
        <w:rPr>
          <w:rFonts w:ascii="Arial" w:hAnsi="Arial"/>
          <w:b w:val="0"/>
          <w:i w:val="0"/>
          <w:color w:val="1B2A30"/>
          <w:sz w:val="21"/>
        </w:rPr>
        <w:t xml:space="preserve">Ke, G. et al. (2017). </w:t>
      </w:r>
      <w:r>
        <w:rPr>
          <w:rFonts w:ascii="Arial" w:hAnsi="Arial"/>
          <w:b w:val="0"/>
          <w:i/>
          <w:color w:val="1B2A30"/>
          <w:sz w:val="21"/>
        </w:rPr>
        <w:t>LightGBM: A Highly Efficient Gradient Boosting Decision Tree.</w:t>
      </w:r>
      <w:r>
        <w:rPr>
          <w:rFonts w:ascii="Arial" w:hAnsi="Arial"/>
          <w:b w:val="0"/>
          <w:i w:val="0"/>
          <w:color w:val="1B2A30"/>
          <w:sz w:val="21"/>
        </w:rPr>
        <w:t xml:space="preserve"> Advances in Neural Information Processing Systems (NeurIPS).</w:t>
      </w:r>
    </w:p>
    <w:sectPr w:rsidR="00FC693F" w:rsidRPr="0006063C" w:rsidSect="00034616">
      <w:footerReference w:type="default" r:id="rId9"/>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pBdr>
        <w:bottom w:val="single" w:sz="6" w:space="3" w:color="D3DEE2"/>
      </w:pBdr>
    </w:pPr>
  </w:p>
  <w:p>
    <w:pPr>
      <w:tabs>
        <w:tab w:pos="9648" w:val="right"/>
      </w:tabs>
    </w:pPr>
    <w:r>
      <w:rPr>
        <w:rFonts w:ascii="Arial" w:hAnsi="Arial"/>
        <w:b w:val="0"/>
        <w:i w:val="0"/>
        <w:color w:val="5C6B72"/>
        <w:sz w:val="16"/>
      </w:rPr>
      <w:t>Sandeep Kumar · 2025EM1200293</w:t>
      <w:tab/>
    </w:r>
    <w:r>
      <w:rPr>
        <w:rFonts w:ascii="Arial" w:hAnsi="Arial"/>
        <w:b w:val="0"/>
        <w:i w:val="0"/>
        <w:color w:val="5C6B72"/>
        <w:sz w:val="16"/>
      </w:rPr>
      <w:t xml:space="preserve">Week-2 Project Outline · Page </w:t>
    </w: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B2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