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color w:val="0F4C5C"/>
          <w:sz w:val="50"/>
        </w:rPr>
        <w:t>Credit Risk &amp; Loan Default Prediction</w:t>
      </w:r>
    </w:p>
    <w:p>
      <w:pPr>
        <w:spacing w:after="200"/>
        <w:jc w:val="center"/>
      </w:pPr>
      <w:r>
        <w:rPr>
          <w:rFonts w:ascii="Arial" w:hAnsi="Arial"/>
          <w:b/>
          <w:i w:val="0"/>
          <w:color w:val="1F7A8C"/>
          <w:sz w:val="26"/>
        </w:rPr>
        <w:t>on the Give Me Some Credit Dataset</w:t>
      </w:r>
    </w:p>
    <w:p>
      <w:pPr>
        <w:spacing w:after="20"/>
        <w:jc w:val="center"/>
      </w:pPr>
      <w:r>
        <w:rPr>
          <w:rFonts w:ascii="Arial" w:hAnsi="Arial"/>
          <w:b w:val="0"/>
          <w:i w:val="0"/>
          <w:color w:val="5C6B72"/>
          <w:sz w:val="22"/>
        </w:rPr>
        <w:t>Advanced Apex Project-2  ·  M.Sc. Data Science &amp; Artificial Intelligence</w:t>
      </w:r>
    </w:p>
    <w:p>
      <w:pPr>
        <w:spacing w:after="120"/>
        <w:jc w:val="center"/>
      </w:pPr>
      <w:r>
        <w:rPr>
          <w:rFonts w:ascii="Arial" w:hAnsi="Arial"/>
          <w:b w:val="0"/>
          <w:i/>
          <w:color w:val="5C6B72"/>
          <w:sz w:val="20"/>
        </w:rPr>
        <w:t>Week-2  ·  Project Outline Submission</w:t>
      </w:r>
    </w:p>
    <w:p>
      <w:pPr>
        <w:spacing w:after="240"/>
        <w:pBdr>
          <w:bottom w:val="single" w:sz="18" w:space="3" w:color="0F4C5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EE2"/>
          <w:left w:val="single" w:sz="4" w:space="0" w:color="D3DEE2"/>
          <w:bottom w:val="single" w:sz="4" w:space="0" w:color="D3DEE2"/>
          <w:right w:val="single" w:sz="4" w:space="0" w:color="D3DEE2"/>
          <w:insideH w:val="single" w:sz="4" w:space="0" w:color="D3DEE2"/>
          <w:insideV w:val="single" w:sz="4" w:space="0" w:color="D3DEE2"/>
        </w:tblBorders>
      </w:tblPr>
      <w:tblGrid>
        <w:gridCol w:w="4824"/>
        <w:gridCol w:w="4824"/>
      </w:tblGrid>
      <w:tr>
        <w:tc>
          <w:tcPr>
            <w:tcW w:type="dxa" w:w="2736"/>
            <w:shd w:val="clear" w:color="auto" w:fill="0F4C5C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6336"/>
            <w:shd w:val="clear" w:color="auto" w:fill="0F4C5C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73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30"/>
                <w:sz w:val="20"/>
              </w:rPr>
              <w:t>Project Title</w:t>
            </w:r>
          </w:p>
        </w:tc>
        <w:tc>
          <w:tcPr>
            <w:tcW w:type="dxa" w:w="633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Credit Risk &amp; Loan Default Prediction using the Give Me Some Credit Dataset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30"/>
                <w:sz w:val="20"/>
              </w:rPr>
              <w:t>Problem Statement</w:t>
            </w:r>
          </w:p>
        </w:tc>
        <w:tc>
          <w:tcPr>
            <w:tcW w:type="dxa" w:w="633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P1 (BFSI) — Credit Risk &amp; Loan Default Prediction</w:t>
            </w:r>
          </w:p>
        </w:tc>
      </w:tr>
      <w:tr>
        <w:tc>
          <w:tcPr>
            <w:tcW w:type="dxa" w:w="273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30"/>
                <w:sz w:val="20"/>
              </w:rPr>
              <w:t>Student Name</w:t>
            </w:r>
          </w:p>
        </w:tc>
        <w:tc>
          <w:tcPr>
            <w:tcW w:type="dxa" w:w="633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Sandeep Kumar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30"/>
                <w:sz w:val="20"/>
              </w:rPr>
              <w:t>Student ID</w:t>
            </w:r>
          </w:p>
        </w:tc>
        <w:tc>
          <w:tcPr>
            <w:tcW w:type="dxa" w:w="633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2025EM1200293</w:t>
            </w:r>
          </w:p>
        </w:tc>
      </w:tr>
      <w:tr>
        <w:tc>
          <w:tcPr>
            <w:tcW w:type="dxa" w:w="273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30"/>
                <w:sz w:val="20"/>
              </w:rPr>
              <w:t>Program</w:t>
            </w:r>
          </w:p>
        </w:tc>
        <w:tc>
          <w:tcPr>
            <w:tcW w:type="dxa" w:w="633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M.Sc. Data Science &amp; Artificial Intelligence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30"/>
                <w:sz w:val="20"/>
              </w:rPr>
              <w:t>Cohort / Trimester</w:t>
            </w:r>
          </w:p>
        </w:tc>
        <w:tc>
          <w:tcPr>
            <w:tcW w:type="dxa" w:w="633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Cohort-2 / Trimester-3</w:t>
            </w:r>
          </w:p>
        </w:tc>
      </w:tr>
      <w:tr>
        <w:tc>
          <w:tcPr>
            <w:tcW w:type="dxa" w:w="273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30"/>
                <w:sz w:val="20"/>
              </w:rPr>
              <w:t>Submission</w:t>
            </w:r>
          </w:p>
        </w:tc>
        <w:tc>
          <w:tcPr>
            <w:tcW w:type="dxa" w:w="633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Week-2 — Project Outline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30"/>
                <w:sz w:val="20"/>
              </w:rPr>
              <w:t>Dataset</w:t>
            </w:r>
          </w:p>
        </w:tc>
        <w:tc>
          <w:tcPr>
            <w:tcW w:type="dxa" w:w="633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Give Me Some Credit — Kaggle (150,000 records)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EFF5F7"/>
            <w:tcBorders>
              <w:left w:val="single" w:sz="28" w:space="0" w:color="C77D2E"/>
              <w:top w:val="none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4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/>
                <w:b/>
                <w:i/>
                <w:color w:val="1B2A30"/>
                <w:sz w:val="21"/>
              </w:rPr>
              <w:t>Scope of this Week-2 submission.</w:t>
            </w:r>
            <w:r>
              <w:rPr>
                <w:rFonts w:ascii="Arial" w:hAnsi="Arial"/>
                <w:b w:val="0"/>
                <w:i/>
                <w:color w:val="1B2A30"/>
                <w:sz w:val="21"/>
              </w:rPr>
              <w:t xml:space="preserve"> </w:t>
            </w:r>
            <w:r>
              <w:rPr>
                <w:rFonts w:ascii="Arial" w:hAnsi="Arial"/>
                <w:b w:val="0"/>
                <w:i/>
                <w:color w:val="1B2A30"/>
                <w:sz w:val="21"/>
              </w:rPr>
              <w:t>Executed this stage:</w:t>
            </w:r>
            <w:r>
              <w:rPr>
                <w:rFonts w:ascii="Arial" w:hAnsi="Arial"/>
                <w:b w:val="0"/>
                <w:i/>
                <w:color w:val="1B2A30"/>
                <w:sz w:val="21"/>
              </w:rPr>
              <w:t xml:space="preserve"> data loading, inspection, full EDA (correlation, univariate, bivariate and outlier analysis), data cleaning, feature engineering, a leakage-safe preprocessing pipeline, a Logistic Regression baseline, and its evaluation and interpretation. </w:t>
            </w:r>
            <w:r>
              <w:rPr>
                <w:rFonts w:ascii="Arial" w:hAnsi="Arial"/>
                <w:b w:val="0"/>
                <w:i/>
                <w:color w:val="1B2A30"/>
                <w:sz w:val="21"/>
              </w:rPr>
              <w:t>Planned for Weeks 5/9:</w:t>
            </w:r>
            <w:r>
              <w:rPr>
                <w:rFonts w:ascii="Arial" w:hAnsi="Arial"/>
                <w:b w:val="0"/>
                <w:i/>
                <w:color w:val="1B2A30"/>
                <w:sz w:val="21"/>
              </w:rPr>
              <w:t xml:space="preserve"> improved ensemble models (Random Forest, Gradient Boosting, AdaBoost, XGBoost, LightGBM), SMOTE resampling, cross-validated hyperparameter tuning, and SHAP-based interpretation.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61"/>
            <w:shd w:val="clear" w:color="auto" w:fill="0F4C5C"/>
            <w:tcMar>
              <w:top w:w="30" w:type="dxa"/>
              <w:bottom w:w="3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ind w:left="160"/>
            </w:pPr>
            <w:r>
              <w:rPr>
                <w:rFonts w:ascii="Arial" w:hAnsi="Arial"/>
                <w:b/>
                <w:i w:val="0"/>
                <w:color w:val="0F4C5C"/>
                <w:sz w:val="28"/>
              </w:rPr>
              <w:t>Project Title</w:t>
            </w:r>
          </w:p>
        </w:tc>
      </w:tr>
    </w:tbl>
    <w:p>
      <w:pPr>
        <w:spacing w:before="40" w:after="120"/>
        <w:pBdr>
          <w:bottom w:val="single" w:sz="8" w:space="3" w:color="D3DEE2"/>
        </w:pBdr>
      </w:pPr>
    </w:p>
    <w:p>
      <w:pPr>
        <w:spacing w:after="160" w:line="293" w:lineRule="auto"/>
        <w:jc w:val="both"/>
      </w:pPr>
      <w:r>
        <w:rPr>
          <w:rFonts w:ascii="Arial" w:hAnsi="Arial"/>
          <w:b/>
          <w:i w:val="0"/>
          <w:color w:val="1B2A30"/>
          <w:sz w:val="21"/>
        </w:rPr>
        <w:t>Credit Risk &amp; Loan Default Prediction using the Give Me Some Credit Dataset</w:t>
      </w:r>
      <w:r>
        <w:rPr>
          <w:rFonts w:ascii="Arial" w:hAnsi="Arial"/>
          <w:b w:val="0"/>
          <w:i w:val="0"/>
          <w:color w:val="1B2A30"/>
          <w:sz w:val="21"/>
        </w:rPr>
        <w:t xml:space="preserve"> — a supervised machine-learning study on 150,000 real consumer-credit records that classifies borrowers as </w:t>
      </w:r>
      <w:r>
        <w:rPr>
          <w:rFonts w:ascii="Arial" w:hAnsi="Arial"/>
          <w:b w:val="0"/>
          <w:i/>
          <w:color w:val="1B2A30"/>
          <w:sz w:val="21"/>
        </w:rPr>
        <w:t>good</w:t>
      </w:r>
      <w:r>
        <w:rPr>
          <w:rFonts w:ascii="Arial" w:hAnsi="Arial"/>
          <w:b w:val="0"/>
          <w:i w:val="0"/>
          <w:color w:val="1B2A30"/>
          <w:sz w:val="21"/>
        </w:rPr>
        <w:t xml:space="preserve"> (no serious delinquency) or </w:t>
      </w:r>
      <w:r>
        <w:rPr>
          <w:rFonts w:ascii="Arial" w:hAnsi="Arial"/>
          <w:b w:val="0"/>
          <w:i/>
          <w:color w:val="1B2A30"/>
          <w:sz w:val="21"/>
        </w:rPr>
        <w:t>bad</w:t>
      </w:r>
      <w:r>
        <w:rPr>
          <w:rFonts w:ascii="Arial" w:hAnsi="Arial"/>
          <w:b w:val="0"/>
          <w:i w:val="0"/>
          <w:color w:val="1B2A30"/>
          <w:sz w:val="21"/>
        </w:rPr>
        <w:t xml:space="preserve"> (a 90-day-or-worse delinquency within two years).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61"/>
            <w:shd w:val="clear" w:color="auto" w:fill="0F4C5C"/>
            <w:tcMar>
              <w:top w:w="30" w:type="dxa"/>
              <w:bottom w:w="3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ind w:left="160"/>
            </w:pPr>
            <w:r>
              <w:rPr>
                <w:rFonts w:ascii="Arial" w:hAnsi="Arial"/>
                <w:b/>
                <w:i w:val="0"/>
                <w:color w:val="0F4C5C"/>
                <w:sz w:val="28"/>
              </w:rPr>
              <w:t>Problem Statement</w:t>
            </w:r>
          </w:p>
        </w:tc>
      </w:tr>
    </w:tbl>
    <w:p>
      <w:pPr>
        <w:spacing w:before="40" w:after="120"/>
        <w:pBdr>
          <w:bottom w:val="single" w:sz="8" w:space="3" w:color="D3DEE2"/>
        </w:pBdr>
      </w:pPr>
    </w:p>
    <w:p>
      <w:pPr>
        <w:spacing w:after="160" w:line="293" w:lineRule="auto"/>
        <w:jc w:val="both"/>
      </w:pPr>
      <w:r>
        <w:rPr>
          <w:rFonts w:ascii="Arial" w:hAnsi="Arial"/>
          <w:b w:val="0"/>
          <w:i w:val="0"/>
          <w:color w:val="1B2A30"/>
          <w:sz w:val="21"/>
        </w:rPr>
        <w:t xml:space="preserve">This project addresses </w:t>
      </w:r>
      <w:r>
        <w:rPr>
          <w:rFonts w:ascii="Arial" w:hAnsi="Arial"/>
          <w:b/>
          <w:i w:val="0"/>
          <w:color w:val="1B2A30"/>
          <w:sz w:val="21"/>
        </w:rPr>
        <w:t>Problem Statement P1 (BFSI) — Credit Risk &amp; Loan Default Prediction</w:t>
      </w:r>
      <w:r>
        <w:rPr>
          <w:rFonts w:ascii="Arial" w:hAnsi="Arial"/>
          <w:b w:val="0"/>
          <w:i w:val="0"/>
          <w:color w:val="1B2A30"/>
          <w:sz w:val="21"/>
        </w:rPr>
        <w:t xml:space="preserve"> from the finalized list. Every time a bank extends credit it is betting that the borrower will repay. The task is to learn, from an applicant's credit-utilisation, income, age and repayment-history fields, whether they will experience a serious delinquency within the next two years. It is a binary classification problem on real historical data, and the class of interest — default — is rare, making roughly 1 in 15 borrowers the risk this project is built to catch.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61"/>
            <w:shd w:val="clear" w:color="auto" w:fill="0F4C5C"/>
            <w:tcMar>
              <w:top w:w="30" w:type="dxa"/>
              <w:bottom w:w="3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ind w:left="160"/>
            </w:pPr>
            <w:r>
              <w:rPr>
                <w:rFonts w:ascii="Arial" w:hAnsi="Arial"/>
                <w:b/>
                <w:i w:val="0"/>
                <w:color w:val="0F4C5C"/>
                <w:sz w:val="28"/>
              </w:rPr>
              <w:t>Business Goal / Objective</w:t>
            </w:r>
          </w:p>
        </w:tc>
      </w:tr>
    </w:tbl>
    <w:p>
      <w:pPr>
        <w:spacing w:before="40" w:after="120"/>
        <w:pBdr>
          <w:bottom w:val="single" w:sz="8" w:space="3" w:color="D3DEE2"/>
        </w:pBdr>
      </w:pPr>
    </w:p>
    <w:p>
      <w:pPr>
        <w:spacing w:after="160" w:line="293" w:lineRule="auto"/>
        <w:jc w:val="both"/>
      </w:pPr>
      <w:r>
        <w:rPr>
          <w:rFonts w:ascii="Arial" w:hAnsi="Arial"/>
          <w:b w:val="0"/>
          <w:i w:val="0"/>
          <w:color w:val="1B2A30"/>
          <w:sz w:val="21"/>
        </w:rPr>
        <w:t xml:space="preserve">The objective is to build a reliable, </w:t>
      </w:r>
      <w:r>
        <w:rPr>
          <w:rFonts w:ascii="Arial" w:hAnsi="Arial"/>
          <w:b w:val="0"/>
          <w:i/>
          <w:color w:val="1B2A30"/>
          <w:sz w:val="21"/>
        </w:rPr>
        <w:t>interpretable</w:t>
      </w:r>
      <w:r>
        <w:rPr>
          <w:rFonts w:ascii="Arial" w:hAnsi="Arial"/>
          <w:b w:val="0"/>
          <w:i w:val="0"/>
          <w:color w:val="1B2A30"/>
          <w:sz w:val="21"/>
        </w:rPr>
        <w:t xml:space="preserve"> classifier that ranks applicants by risk well enough to set a sensible approval cut-off and flag borderline cases for manual review, while being able to explain </w:t>
      </w:r>
      <w:r>
        <w:rPr>
          <w:rFonts w:ascii="Arial" w:hAnsi="Arial"/>
          <w:b w:val="0"/>
          <w:i/>
          <w:color w:val="1B2A30"/>
          <w:sz w:val="21"/>
        </w:rPr>
        <w:t>why</w:t>
      </w:r>
      <w:r>
        <w:rPr>
          <w:rFonts w:ascii="Arial" w:hAnsi="Arial"/>
          <w:b w:val="0"/>
          <w:i w:val="0"/>
          <w:color w:val="1B2A30"/>
          <w:sz w:val="21"/>
        </w:rPr>
        <w:t xml:space="preserve"> an applicant was flagged — credit decisions face regulatory and adverse-action scrutiny. Because a missed defaulter typically costs far more than a cautious decline, the model is optimised for </w:t>
      </w:r>
      <w:r>
        <w:rPr>
          <w:rFonts w:ascii="Arial" w:hAnsi="Arial"/>
          <w:b/>
          <w:i w:val="0"/>
          <w:color w:val="1B2A30"/>
          <w:sz w:val="21"/>
        </w:rPr>
        <w:t>recall on the default class, ROC-AUC and PR-AUC</w:t>
      </w:r>
      <w:r>
        <w:rPr>
          <w:rFonts w:ascii="Arial" w:hAnsi="Arial"/>
          <w:b w:val="0"/>
          <w:i w:val="0"/>
          <w:color w:val="1B2A30"/>
          <w:sz w:val="21"/>
        </w:rPr>
        <w:t xml:space="preserve"> rather than plain accuracy, in line with this trimester's emphasis on interpretation and business insight over raw predictive score.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61"/>
            <w:shd w:val="clear" w:color="auto" w:fill="0F4C5C"/>
            <w:tcMar>
              <w:top w:w="30" w:type="dxa"/>
              <w:bottom w:w="3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ind w:left="160"/>
            </w:pPr>
            <w:r>
              <w:rPr>
                <w:rFonts w:ascii="Arial" w:hAnsi="Arial"/>
                <w:b/>
                <w:i w:val="0"/>
                <w:color w:val="0F4C5C"/>
                <w:sz w:val="28"/>
              </w:rPr>
              <w:t>Dataset Details</w:t>
            </w:r>
          </w:p>
        </w:tc>
      </w:tr>
    </w:tbl>
    <w:p>
      <w:pPr>
        <w:spacing w:before="40" w:after="120"/>
        <w:pBdr>
          <w:bottom w:val="single" w:sz="8" w:space="3" w:color="D3DEE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3DEE2"/>
          <w:left w:val="single" w:sz="4" w:space="0" w:color="D3DEE2"/>
          <w:bottom w:val="single" w:sz="4" w:space="0" w:color="D3DEE2"/>
          <w:right w:val="single" w:sz="4" w:space="0" w:color="D3DEE2"/>
          <w:insideH w:val="single" w:sz="4" w:space="0" w:color="D3DEE2"/>
          <w:insideV w:val="single" w:sz="4" w:space="0" w:color="D3DEE2"/>
        </w:tblBorders>
      </w:tblPr>
      <w:tblGrid>
        <w:gridCol w:w="4824"/>
        <w:gridCol w:w="4824"/>
      </w:tblGrid>
      <w:tr>
        <w:tc>
          <w:tcPr>
            <w:tcW w:type="dxa" w:w="2160"/>
            <w:shd w:val="clear" w:color="auto" w:fill="DDE6E8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0F4C5C"/>
                <w:sz w:val="20"/>
              </w:rPr>
              <w:t>Name</w:t>
            </w:r>
          </w:p>
        </w:tc>
        <w:tc>
          <w:tcPr>
            <w:tcW w:type="dxa" w:w="6912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Give Me Some Credit</w:t>
            </w:r>
          </w:p>
        </w:tc>
      </w:tr>
      <w:tr>
        <w:tc>
          <w:tcPr>
            <w:tcW w:type="dxa" w:w="2160"/>
            <w:shd w:val="clear" w:color="auto" w:fill="DDE6E8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0F4C5C"/>
                <w:sz w:val="20"/>
              </w:rPr>
              <w:t>Source</w:t>
            </w:r>
          </w:p>
        </w:tc>
        <w:tc>
          <w:tcPr>
            <w:tcW w:type="dxa" w:w="6912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Kaggle competition (2011), built from real historical consumer-credit records</w:t>
            </w:r>
          </w:p>
        </w:tc>
      </w:tr>
      <w:tr>
        <w:tc>
          <w:tcPr>
            <w:tcW w:type="dxa" w:w="2160"/>
            <w:shd w:val="clear" w:color="auto" w:fill="DDE6E8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0F4C5C"/>
                <w:sz w:val="20"/>
              </w:rPr>
              <w:t>Reference</w:t>
            </w:r>
          </w:p>
        </w:tc>
        <w:tc>
          <w:tcPr>
            <w:tcW w:type="dxa" w:w="6912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kaggle.com/competitions/GiveMeSomeCredit/data</w:t>
            </w:r>
          </w:p>
        </w:tc>
      </w:tr>
      <w:tr>
        <w:tc>
          <w:tcPr>
            <w:tcW w:type="dxa" w:w="2160"/>
            <w:shd w:val="clear" w:color="auto" w:fill="DDE6E8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0F4C5C"/>
                <w:sz w:val="20"/>
              </w:rPr>
              <w:t>Access</w:t>
            </w:r>
          </w:p>
        </w:tc>
        <w:tc>
          <w:tcPr>
            <w:tcW w:type="dxa" w:w="6912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 xml:space="preserve">Loaded at run time from a Google Drive copy of the official Kaggle </w:t>
            </w:r>
            <w:r>
              <w:rPr>
                <w:rFonts w:ascii="Consolas" w:hAnsi="Consolas"/>
                <w:b w:val="0"/>
                <w:i w:val="0"/>
                <w:color w:val="1B2A30"/>
                <w:sz w:val="19"/>
              </w:rPr>
              <w:t>cs-training.csv</w:t>
            </w: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 xml:space="preserve">, so it works on any machine without a Kaggle login. The first download is saved to </w:t>
            </w:r>
            <w:r>
              <w:rPr>
                <w:rFonts w:ascii="Consolas" w:hAnsi="Consolas"/>
                <w:b w:val="0"/>
                <w:i w:val="0"/>
                <w:color w:val="1B2A30"/>
                <w:sz w:val="19"/>
              </w:rPr>
              <w:t>data/cs-training.csv</w:t>
            </w: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 xml:space="preserve"> and reused on later runs if Google Drive cannot be reached</w:t>
            </w:r>
          </w:p>
        </w:tc>
      </w:tr>
      <w:tr>
        <w:tc>
          <w:tcPr>
            <w:tcW w:type="dxa" w:w="2160"/>
            <w:shd w:val="clear" w:color="auto" w:fill="DDE6E8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0F4C5C"/>
                <w:sz w:val="20"/>
              </w:rPr>
              <w:t>Size</w:t>
            </w:r>
          </w:p>
        </w:tc>
        <w:tc>
          <w:tcPr>
            <w:tcW w:type="dxa" w:w="6912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150,000 records × 10 predictor fields + 1 target — well inside the 2,000–100,000 recommended band</w:t>
            </w:r>
          </w:p>
        </w:tc>
      </w:tr>
      <w:tr>
        <w:tc>
          <w:tcPr>
            <w:tcW w:type="dxa" w:w="2160"/>
            <w:shd w:val="clear" w:color="auto" w:fill="DDE6E8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0F4C5C"/>
                <w:sz w:val="20"/>
              </w:rPr>
              <w:t>Target</w:t>
            </w:r>
          </w:p>
        </w:tc>
        <w:tc>
          <w:tcPr>
            <w:tcW w:type="dxa" w:w="6912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i w:val="0"/>
                <w:color w:val="1B2A30"/>
                <w:sz w:val="19"/>
              </w:rPr>
              <w:t>SeriousDlqin2yrs</w:t>
            </w: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 xml:space="preserve"> — 1 if the borrower had a 90+ day delinquency within 2 years, 0 otherwise; the positive class is already the risk event, so no remapping is needed</w:t>
            </w:r>
          </w:p>
        </w:tc>
      </w:tr>
      <w:tr>
        <w:tc>
          <w:tcPr>
            <w:tcW w:type="dxa" w:w="2160"/>
            <w:shd w:val="clear" w:color="auto" w:fill="DDE6E8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0F4C5C"/>
                <w:sz w:val="20"/>
              </w:rPr>
              <w:t>Class balance</w:t>
            </w:r>
          </w:p>
        </w:tc>
        <w:tc>
          <w:tcPr>
            <w:tcW w:type="dxa" w:w="6912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≈ 93.3% good vs 6.7% bad (≈ 14 : 1) — a heavy imbalance, so accuracy is a misleading headline metric</w:t>
            </w:r>
          </w:p>
        </w:tc>
      </w:tr>
      <w:tr>
        <w:tc>
          <w:tcPr>
            <w:tcW w:type="dxa" w:w="2160"/>
            <w:shd w:val="clear" w:color="auto" w:fill="DDE6E8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0F4C5C"/>
                <w:sz w:val="20"/>
              </w:rPr>
              <w:t>Feature mix</w:t>
            </w:r>
          </w:p>
        </w:tc>
        <w:tc>
          <w:tcPr>
            <w:tcW w:type="dxa" w:w="6912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1B2A30"/>
                <w:sz w:val="20"/>
              </w:rPr>
              <w:t>10 numeric fields: utilisation ratio, age, three delinquency-count fields, debt ratio, monthly income, open credit lines, real-estate loans, dependents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Arial" w:hAnsi="Arial"/>
          <w:b/>
          <w:i w:val="0"/>
          <w:color w:val="0F4C5C"/>
          <w:sz w:val="22"/>
        </w:rPr>
        <w:t>Data dictionary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EE2"/>
          <w:left w:val="single" w:sz="4" w:space="0" w:color="D3DEE2"/>
          <w:bottom w:val="single" w:sz="4" w:space="0" w:color="D3DEE2"/>
          <w:right w:val="single" w:sz="4" w:space="0" w:color="D3DEE2"/>
          <w:insideH w:val="single" w:sz="4" w:space="0" w:color="D3DEE2"/>
          <w:insideV w:val="single" w:sz="4" w:space="0" w:color="D3DEE2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shd w:val="clear" w:color="auto" w:fill="0F4C5C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3096"/>
            <w:shd w:val="clear" w:color="auto" w:fill="0F4C5C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1584"/>
            <w:shd w:val="clear" w:color="auto" w:fill="0F4C5C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4104"/>
            <w:shd w:val="clear" w:color="auto" w:fill="0F4C5C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57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—</w:t>
            </w:r>
          </w:p>
        </w:tc>
        <w:tc>
          <w:tcPr>
            <w:tcW w:type="dxa" w:w="309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30"/>
                <w:sz w:val="18"/>
              </w:rPr>
              <w:t>SeriousDlqin2yrs</w:t>
            </w: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 xml:space="preserve"> (target)</w:t>
            </w:r>
          </w:p>
        </w:tc>
        <w:tc>
          <w:tcPr>
            <w:tcW w:type="dxa" w:w="158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binary</w:t>
            </w:r>
          </w:p>
        </w:tc>
        <w:tc>
          <w:tcPr>
            <w:tcW w:type="dxa" w:w="410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Person experienced 90+ days past-due delinquency within 2 years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1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RevolvingUtilizationOfUnsecuredLines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numeric (ratio)</w:t>
            </w:r>
          </w:p>
        </w:tc>
        <w:tc>
          <w:tcPr>
            <w:tcW w:type="dxa" w:w="410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Balance on credit cards / personal lines of credit ÷ sum of credit limits</w:t>
            </w:r>
          </w:p>
        </w:tc>
      </w:tr>
      <w:tr>
        <w:tc>
          <w:tcPr>
            <w:tcW w:type="dxa" w:w="57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2</w:t>
            </w:r>
          </w:p>
        </w:tc>
        <w:tc>
          <w:tcPr>
            <w:tcW w:type="dxa" w:w="309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age</w:t>
            </w:r>
          </w:p>
        </w:tc>
        <w:tc>
          <w:tcPr>
            <w:tcW w:type="dxa" w:w="158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numeric</w:t>
            </w:r>
          </w:p>
        </w:tc>
        <w:tc>
          <w:tcPr>
            <w:tcW w:type="dxa" w:w="410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Age of the borrower in years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3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NumberOfTime30-59DaysPastDueNotWorse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numeric (count)</w:t>
            </w:r>
          </w:p>
        </w:tc>
        <w:tc>
          <w:tcPr>
            <w:tcW w:type="dxa" w:w="410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Times 30–59 days past due, not worse, in last 2 years</w:t>
            </w:r>
          </w:p>
        </w:tc>
      </w:tr>
      <w:tr>
        <w:tc>
          <w:tcPr>
            <w:tcW w:type="dxa" w:w="57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4</w:t>
            </w:r>
          </w:p>
        </w:tc>
        <w:tc>
          <w:tcPr>
            <w:tcW w:type="dxa" w:w="309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DebtRatio</w:t>
            </w:r>
          </w:p>
        </w:tc>
        <w:tc>
          <w:tcPr>
            <w:tcW w:type="dxa" w:w="158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numeric (ratio)</w:t>
            </w:r>
          </w:p>
        </w:tc>
        <w:tc>
          <w:tcPr>
            <w:tcW w:type="dxa" w:w="410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Monthly debt payments + living costs ÷ monthly gross income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5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MonthlyIncome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numeric</w:t>
            </w:r>
          </w:p>
        </w:tc>
        <w:tc>
          <w:tcPr>
            <w:tcW w:type="dxa" w:w="410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Monthly income</w:t>
            </w:r>
          </w:p>
        </w:tc>
      </w:tr>
      <w:tr>
        <w:tc>
          <w:tcPr>
            <w:tcW w:type="dxa" w:w="57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6</w:t>
            </w:r>
          </w:p>
        </w:tc>
        <w:tc>
          <w:tcPr>
            <w:tcW w:type="dxa" w:w="309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NumberOfOpenCreditLinesAndLoans</w:t>
            </w:r>
          </w:p>
        </w:tc>
        <w:tc>
          <w:tcPr>
            <w:tcW w:type="dxa" w:w="158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numeric (count)</w:t>
            </w:r>
          </w:p>
        </w:tc>
        <w:tc>
          <w:tcPr>
            <w:tcW w:type="dxa" w:w="410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Open instalment loans and credit lines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7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NumberOfTimes90DaysLate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numeric (count)</w:t>
            </w:r>
          </w:p>
        </w:tc>
        <w:tc>
          <w:tcPr>
            <w:tcW w:type="dxa" w:w="410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Times 90 days or more past due</w:t>
            </w:r>
          </w:p>
        </w:tc>
      </w:tr>
      <w:tr>
        <w:tc>
          <w:tcPr>
            <w:tcW w:type="dxa" w:w="57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8</w:t>
            </w:r>
          </w:p>
        </w:tc>
        <w:tc>
          <w:tcPr>
            <w:tcW w:type="dxa" w:w="309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NumberRealEstateLoansOrLines</w:t>
            </w:r>
          </w:p>
        </w:tc>
        <w:tc>
          <w:tcPr>
            <w:tcW w:type="dxa" w:w="158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numeric (count)</w:t>
            </w:r>
          </w:p>
        </w:tc>
        <w:tc>
          <w:tcPr>
            <w:tcW w:type="dxa" w:w="410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Mortgage and real-estate loans, incl. home-equity lines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9</w:t>
            </w:r>
          </w:p>
        </w:tc>
        <w:tc>
          <w:tcPr>
            <w:tcW w:type="dxa" w:w="309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NumberOfTime60-89DaysPastDueNotWorse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numeric (count)</w:t>
            </w:r>
          </w:p>
        </w:tc>
        <w:tc>
          <w:tcPr>
            <w:tcW w:type="dxa" w:w="4104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Times 60–89 days past due, not worse, in last 2 years</w:t>
            </w:r>
          </w:p>
        </w:tc>
      </w:tr>
      <w:tr>
        <w:tc>
          <w:tcPr>
            <w:tcW w:type="dxa" w:w="57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10</w:t>
            </w:r>
          </w:p>
        </w:tc>
        <w:tc>
          <w:tcPr>
            <w:tcW w:type="dxa" w:w="3096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NumberOfDependents</w:t>
            </w:r>
          </w:p>
        </w:tc>
        <w:tc>
          <w:tcPr>
            <w:tcW w:type="dxa" w:w="158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numeric (count)</w:t>
            </w:r>
          </w:p>
        </w:tc>
        <w:tc>
          <w:tcPr>
            <w:tcW w:type="dxa" w:w="4104"/>
            <w:shd w:val="clear" w:color="auto" w:fill="EEF4F6"/>
            <w:tcMar>
              <w:top w:w="40" w:type="dxa"/>
              <w:bottom w:w="4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30"/>
                <w:sz w:val="18"/>
              </w:rPr>
              <w:t>Dependents excluding the borrower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61"/>
            <w:shd w:val="clear" w:color="auto" w:fill="0F4C5C"/>
            <w:tcMar>
              <w:top w:w="30" w:type="dxa"/>
              <w:bottom w:w="3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5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ind w:left="160"/>
            </w:pPr>
            <w:r>
              <w:rPr>
                <w:rFonts w:ascii="Arial" w:hAnsi="Arial"/>
                <w:b/>
                <w:i w:val="0"/>
                <w:color w:val="0F4C5C"/>
                <w:sz w:val="28"/>
              </w:rPr>
              <w:t>Initial Understanding of the Dataset</w:t>
            </w:r>
          </w:p>
        </w:tc>
      </w:tr>
    </w:tbl>
    <w:p>
      <w:pPr>
        <w:spacing w:before="40" w:after="120"/>
        <w:pBdr>
          <w:bottom w:val="single" w:sz="8" w:space="3" w:color="D3DEE2"/>
        </w:pBdr>
      </w:pPr>
    </w:p>
    <w:p>
      <w:pPr>
        <w:spacing w:after="160" w:line="293" w:lineRule="auto"/>
        <w:jc w:val="both"/>
      </w:pPr>
      <w:r>
        <w:rPr>
          <w:rFonts w:ascii="Arial" w:hAnsi="Arial"/>
          <w:b w:val="0"/>
          <w:i w:val="0"/>
          <w:color w:val="1B2A30"/>
          <w:sz w:val="21"/>
        </w:rPr>
        <w:t xml:space="preserve">Unlike a pre-cleaned academic dataset, this data genuinely needs work: </w:t>
      </w:r>
      <w:r>
        <w:rPr>
          <w:rFonts w:ascii="Consolas" w:hAnsi="Consolas"/>
          <w:b w:val="0"/>
          <w:i w:val="0"/>
          <w:color w:val="1B2A30"/>
          <w:sz w:val="20"/>
        </w:rPr>
        <w:t>MonthlyIncome</w:t>
      </w:r>
      <w:r>
        <w:rPr>
          <w:rFonts w:ascii="Arial" w:hAnsi="Arial"/>
          <w:b w:val="0"/>
          <w:i w:val="0"/>
          <w:color w:val="1B2A30"/>
          <w:sz w:val="21"/>
        </w:rPr>
        <w:t xml:space="preserve"> is missing for ≈ 19.6% of records and </w:t>
      </w:r>
      <w:r>
        <w:rPr>
          <w:rFonts w:ascii="Consolas" w:hAnsi="Consolas"/>
          <w:b w:val="0"/>
          <w:i w:val="0"/>
          <w:color w:val="1B2A30"/>
          <w:sz w:val="20"/>
        </w:rPr>
        <w:t>NumberOfDependents</w:t>
      </w:r>
      <w:r>
        <w:rPr>
          <w:rFonts w:ascii="Arial" w:hAnsi="Arial"/>
          <w:b w:val="0"/>
          <w:i w:val="0"/>
          <w:color w:val="1B2A30"/>
          <w:sz w:val="21"/>
        </w:rPr>
        <w:t xml:space="preserve"> for ≈ 2.6%; there are 609 exact duplicate rows; one record shows an impossible </w:t>
      </w:r>
      <w:r>
        <w:rPr>
          <w:rFonts w:ascii="Consolas" w:hAnsi="Consolas"/>
          <w:b w:val="0"/>
          <w:i w:val="0"/>
          <w:color w:val="1B2A30"/>
          <w:sz w:val="20"/>
        </w:rPr>
        <w:t>age</w:t>
      </w:r>
      <w:r>
        <w:rPr>
          <w:rFonts w:ascii="Arial" w:hAnsi="Arial"/>
          <w:b w:val="0"/>
          <w:i w:val="0"/>
          <w:color w:val="1B2A30"/>
          <w:sz w:val="21"/>
        </w:rPr>
        <w:t xml:space="preserve"> of 0; and the three delinquency-count columns contain sentinel error codes (96 and 98) instead of real counts for 225 records. </w:t>
      </w:r>
      <w:r>
        <w:rPr>
          <w:rFonts w:ascii="Consolas" w:hAnsi="Consolas"/>
          <w:b w:val="0"/>
          <w:i w:val="0"/>
          <w:color w:val="1B2A30"/>
          <w:sz w:val="20"/>
        </w:rPr>
        <w:t>RevolvingUtilizationOfUnsecuredLines</w:t>
      </w:r>
      <w:r>
        <w:rPr>
          <w:rFonts w:ascii="Arial" w:hAnsi="Arial"/>
          <w:b w:val="0"/>
          <w:i w:val="0"/>
          <w:color w:val="1B2A30"/>
          <w:sz w:val="21"/>
        </w:rPr>
        <w:t xml:space="preserve"> and </w:t>
      </w:r>
      <w:r>
        <w:rPr>
          <w:rFonts w:ascii="Consolas" w:hAnsi="Consolas"/>
          <w:b w:val="0"/>
          <w:i w:val="0"/>
          <w:color w:val="1B2A30"/>
          <w:sz w:val="20"/>
        </w:rPr>
        <w:t>DebtRatio</w:t>
      </w:r>
      <w:r>
        <w:rPr>
          <w:rFonts w:ascii="Arial" w:hAnsi="Arial"/>
          <w:b w:val="0"/>
          <w:i w:val="0"/>
          <w:color w:val="1B2A30"/>
          <w:sz w:val="21"/>
        </w:rPr>
        <w:t xml:space="preserve"> also carry physically implausible maximums (50,708 and 329,664 respectively against ratios that should rarely exceed 1–2), pointing to unit or export errors in a small number of records. None of this is disqualifying — it is exactly the kind of realistic, imperfect data this stage is meant to be practised on, and each issue has a specific, defensible cleaning treatment (Section 6).</w:t>
      </w:r>
    </w:p>
    <w:p>
      <w:pPr>
        <w:spacing w:after="160" w:line="293" w:lineRule="auto"/>
        <w:jc w:val="both"/>
      </w:pPr>
      <w:r>
        <w:rPr>
          <w:rFonts w:ascii="Arial" w:hAnsi="Arial"/>
          <w:b w:val="0"/>
          <w:i w:val="0"/>
          <w:color w:val="1B2A30"/>
          <w:sz w:val="21"/>
        </w:rPr>
        <w:t>The target is heavily imbalanced — roughly 93.3% good vs 6.7% bad — which makes accuracy a poor headline metric and puts real weight on recall for the default class and PR-AUC (precision-recall AUC), a harsher and more informative read than ROC-AUC alone when positives are this rare.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val="clear" w:color="auto" w:fill="EFF5F7"/>
            <w:tcBorders>
              <w:left w:val="single" w:sz="28" w:space="0" w:color="C77D2E"/>
              <w:top w:val="none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40" w:type="dxa"/>
            </w:tcMar>
          </w:tcPr>
          <w:p>
            <w:pPr>
              <w:spacing w:after="0" w:line="288" w:lineRule="auto"/>
            </w:pPr>
            <w:r>
              <w:rPr>
                <w:rFonts w:ascii="Arial" w:hAnsi="Arial"/>
                <w:b w:val="0"/>
                <w:i/>
                <w:color w:val="1B2A30"/>
                <w:sz w:val="21"/>
              </w:rPr>
              <w:t xml:space="preserve">A genuinely useful early finding: the 225 records carrying a sentinel delinquency code (96/98) default at </w:t>
            </w:r>
            <w:r>
              <w:rPr>
                <w:rFonts w:ascii="Arial" w:hAnsi="Arial"/>
                <w:b/>
                <w:i/>
                <w:color w:val="1B2A30"/>
                <w:sz w:val="21"/>
              </w:rPr>
              <w:t>60.4%</w:t>
            </w:r>
            <w:r>
              <w:rPr>
                <w:rFonts w:ascii="Arial" w:hAnsi="Arial"/>
                <w:b w:val="0"/>
                <w:i/>
                <w:color w:val="1B2A30"/>
                <w:sz w:val="21"/>
              </w:rPr>
              <w:t xml:space="preserve">, against </w:t>
            </w:r>
            <w:r>
              <w:rPr>
                <w:rFonts w:ascii="Arial" w:hAnsi="Arial"/>
                <w:b/>
                <w:i/>
                <w:color w:val="1B2A30"/>
                <w:sz w:val="21"/>
              </w:rPr>
              <w:t>6.6%</w:t>
            </w:r>
            <w:r>
              <w:rPr>
                <w:rFonts w:ascii="Arial" w:hAnsi="Arial"/>
                <w:b w:val="0"/>
                <w:i/>
                <w:color w:val="1B2A30"/>
                <w:sz w:val="21"/>
              </w:rPr>
              <w:t xml:space="preserve"> for the rest of the book — a nine-fold difference. The very data-quality issue flagged during inspection turns out, once converted into an explicit flag rather than discarded, to be one of the strongest predictive signals in the dataset.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61"/>
            <w:shd w:val="clear" w:color="auto" w:fill="0F4C5C"/>
            <w:tcMar>
              <w:top w:w="30" w:type="dxa"/>
              <w:bottom w:w="3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6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ind w:left="160"/>
            </w:pPr>
            <w:r>
              <w:rPr>
                <w:rFonts w:ascii="Arial" w:hAnsi="Arial"/>
                <w:b/>
                <w:i w:val="0"/>
                <w:color w:val="0F4C5C"/>
                <w:sz w:val="28"/>
              </w:rPr>
              <w:t>Proposed Workflow</w:t>
            </w:r>
          </w:p>
        </w:tc>
      </w:tr>
    </w:tbl>
    <w:p>
      <w:pPr>
        <w:spacing w:before="40" w:after="120"/>
        <w:pBdr>
          <w:bottom w:val="single" w:sz="8" w:space="3" w:color="D3DEE2"/>
        </w:pBdr>
      </w:pPr>
    </w:p>
    <w:p>
      <w:pPr>
        <w:spacing w:after="80" w:line="293" w:lineRule="auto"/>
        <w:jc w:val="both"/>
      </w:pPr>
      <w:r>
        <w:rPr>
          <w:rFonts w:ascii="Arial" w:hAnsi="Arial"/>
          <w:b w:val="0"/>
          <w:i w:val="0"/>
          <w:color w:val="1B2A30"/>
          <w:sz w:val="21"/>
        </w:rPr>
        <w:t>The project follows the standard end-to-end pipeline: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EE2"/>
          <w:left w:val="single" w:sz="4" w:space="0" w:color="D3DEE2"/>
          <w:bottom w:val="single" w:sz="4" w:space="0" w:color="D3DEE2"/>
          <w:right w:val="single" w:sz="4" w:space="0" w:color="D3DEE2"/>
          <w:insideH w:val="single" w:sz="4" w:space="0" w:color="D3DEE2"/>
          <w:insideV w:val="single" w:sz="4" w:space="0" w:color="D3DEE2"/>
        </w:tblBorders>
      </w:tblPr>
      <w:tblGrid>
        <w:gridCol w:w="9648"/>
      </w:tblGrid>
      <w:tr>
        <w:tc>
          <w:tcPr>
            <w:tcW w:type="dxa" w:w="8640"/>
            <w:shd w:val="clear" w:color="auto" w:fill="EEF4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0F4C5C"/>
                <w:sz w:val="19"/>
              </w:rPr>
              <w:t>Data Loading  →  Data Cleaning &amp; Preprocessing  →  EDA  →  Feature Engineering  →  Class Balancing  →  Baseline Model  →  Improved Model(s)  →  Hyperparameter Tuning  →  Model Comparison  →  Evaluation  →  Interpretation &amp; Insights  →  Documentation &amp; Reproducibility</w:t>
            </w:r>
          </w:p>
        </w:tc>
      </w:tr>
    </w:tbl>
    <w:p>
      <w:pPr>
        <w:spacing w:after="80"/>
      </w:pPr>
    </w:p>
    <w:p>
      <w:pPr>
        <w:spacing w:after="160" w:line="293" w:lineRule="auto"/>
        <w:jc w:val="both"/>
      </w:pPr>
      <w:r>
        <w:rPr>
          <w:rFonts w:ascii="Arial" w:hAnsi="Arial"/>
          <w:b/>
          <w:i w:val="0"/>
          <w:color w:val="1B2A30"/>
          <w:sz w:val="21"/>
        </w:rPr>
        <w:t>EDA (executed this stage)</w:t>
      </w:r>
      <w:r>
        <w:rPr>
          <w:rFonts w:ascii="Arial" w:hAnsi="Arial"/>
          <w:b w:val="0"/>
          <w:i w:val="0"/>
          <w:color w:val="1B2A30"/>
          <w:sz w:val="21"/>
        </w:rPr>
        <w:t xml:space="preserve"> is broken into named techniques rather than a single summary: </w:t>
      </w:r>
      <w:r>
        <w:rPr>
          <w:rFonts w:ascii="Consolas" w:hAnsi="Consolas"/>
          <w:b w:val="0"/>
          <w:i w:val="0"/>
          <w:color w:val="1B2A30"/>
          <w:sz w:val="20"/>
        </w:rPr>
        <w:t>describe()</w:t>
      </w:r>
      <w:r>
        <w:rPr>
          <w:rFonts w:ascii="Arial" w:hAnsi="Arial"/>
          <w:b w:val="0"/>
          <w:i w:val="0"/>
          <w:color w:val="1B2A30"/>
          <w:sz w:val="21"/>
        </w:rPr>
        <w:t xml:space="preserve"> on the raw and cleaned views; </w:t>
      </w:r>
      <w:r>
        <w:rPr>
          <w:rFonts w:ascii="Arial" w:hAnsi="Arial"/>
          <w:b/>
          <w:i w:val="0"/>
          <w:color w:val="1B2A30"/>
          <w:sz w:val="21"/>
        </w:rPr>
        <w:t>correlation analysis</w:t>
      </w:r>
      <w:r>
        <w:rPr>
          <w:rFonts w:ascii="Arial" w:hAnsi="Arial"/>
          <w:b w:val="0"/>
          <w:i w:val="0"/>
          <w:color w:val="1B2A30"/>
          <w:sz w:val="21"/>
        </w:rPr>
        <w:t xml:space="preserve"> of every numeric feature against the target; </w:t>
      </w:r>
      <w:r>
        <w:rPr>
          <w:rFonts w:ascii="Arial" w:hAnsi="Arial"/>
          <w:b/>
          <w:i w:val="0"/>
          <w:color w:val="1B2A30"/>
          <w:sz w:val="21"/>
        </w:rPr>
        <w:t>univariate analysis</w:t>
      </w:r>
      <w:r>
        <w:rPr>
          <w:rFonts w:ascii="Arial" w:hAnsi="Arial"/>
          <w:b w:val="0"/>
          <w:i w:val="0"/>
          <w:color w:val="1B2A30"/>
          <w:sz w:val="21"/>
        </w:rPr>
        <w:t xml:space="preserve"> of the target balance, age, income and utilisation distributions; </w:t>
      </w:r>
      <w:r>
        <w:rPr>
          <w:rFonts w:ascii="Arial" w:hAnsi="Arial"/>
          <w:b/>
          <w:i w:val="0"/>
          <w:color w:val="1B2A30"/>
          <w:sz w:val="21"/>
        </w:rPr>
        <w:t>bivariate analysis</w:t>
      </w:r>
      <w:r>
        <w:rPr>
          <w:rFonts w:ascii="Arial" w:hAnsi="Arial"/>
          <w:b w:val="0"/>
          <w:i w:val="0"/>
          <w:color w:val="1B2A30"/>
          <w:sz w:val="21"/>
        </w:rPr>
        <w:t xml:space="preserve"> of default rate by age band and by past-due-incident count; and </w:t>
      </w:r>
      <w:r>
        <w:rPr>
          <w:rFonts w:ascii="Arial" w:hAnsi="Arial"/>
          <w:b/>
          <w:i w:val="0"/>
          <w:color w:val="1B2A30"/>
          <w:sz w:val="21"/>
        </w:rPr>
        <w:t>outlier / plot analysis</w:t>
      </w:r>
      <w:r>
        <w:rPr>
          <w:rFonts w:ascii="Arial" w:hAnsi="Arial"/>
          <w:b w:val="0"/>
          <w:i w:val="0"/>
          <w:color w:val="1B2A30"/>
          <w:sz w:val="21"/>
        </w:rPr>
        <w:t xml:space="preserve"> motivating the cleaning decisions below.</w:t>
      </w:r>
    </w:p>
    <w:p>
      <w:pPr>
        <w:spacing w:after="160" w:line="293" w:lineRule="auto"/>
        <w:jc w:val="both"/>
      </w:pPr>
      <w:r>
        <w:rPr>
          <w:rFonts w:ascii="Arial" w:hAnsi="Arial"/>
          <w:b/>
          <w:i w:val="0"/>
          <w:color w:val="1B2A30"/>
          <w:sz w:val="21"/>
        </w:rPr>
        <w:t>Data cleaning (executed this stage):</w:t>
      </w:r>
      <w:r>
        <w:rPr>
          <w:rFonts w:ascii="Arial" w:hAnsi="Arial"/>
          <w:b w:val="0"/>
          <w:i w:val="0"/>
          <w:color w:val="1B2A30"/>
          <w:sz w:val="21"/>
        </w:rPr>
        <w:t xml:space="preserve"> drop the 609 exact duplicate rows and the single invalid </w:t>
      </w:r>
      <w:r>
        <w:rPr>
          <w:rFonts w:ascii="Consolas" w:hAnsi="Consolas"/>
          <w:b w:val="0"/>
          <w:i w:val="0"/>
          <w:color w:val="1B2A30"/>
          <w:sz w:val="20"/>
        </w:rPr>
        <w:t>age == 0</w:t>
      </w:r>
      <w:r>
        <w:rPr>
          <w:rFonts w:ascii="Arial" w:hAnsi="Arial"/>
          <w:b w:val="0"/>
          <w:i w:val="0"/>
          <w:color w:val="1B2A30"/>
          <w:sz w:val="21"/>
        </w:rPr>
        <w:t xml:space="preserve"> record; recode the 96/98 sentinel delinquency codes to missing while preserving a </w:t>
      </w:r>
      <w:r>
        <w:rPr>
          <w:rFonts w:ascii="Consolas" w:hAnsi="Consolas"/>
          <w:b w:val="0"/>
          <w:i w:val="0"/>
          <w:color w:val="1B2A30"/>
          <w:sz w:val="20"/>
        </w:rPr>
        <w:t>had_sentinel_delinquency_code</w:t>
      </w:r>
      <w:r>
        <w:rPr>
          <w:rFonts w:ascii="Arial" w:hAnsi="Arial"/>
          <w:b w:val="0"/>
          <w:i w:val="0"/>
          <w:color w:val="1B2A30"/>
          <w:sz w:val="21"/>
        </w:rPr>
        <w:t xml:space="preserve"> flag; add missingness flags for </w:t>
      </w:r>
      <w:r>
        <w:rPr>
          <w:rFonts w:ascii="Consolas" w:hAnsi="Consolas"/>
          <w:b w:val="0"/>
          <w:i w:val="0"/>
          <w:color w:val="1B2A30"/>
          <w:sz w:val="20"/>
        </w:rPr>
        <w:t>MonthlyIncome</w:t>
      </w:r>
      <w:r>
        <w:rPr>
          <w:rFonts w:ascii="Arial" w:hAnsi="Arial"/>
          <w:b w:val="0"/>
          <w:i w:val="0"/>
          <w:color w:val="1B2A30"/>
          <w:sz w:val="21"/>
        </w:rPr>
        <w:t xml:space="preserve"> and </w:t>
      </w:r>
      <w:r>
        <w:rPr>
          <w:rFonts w:ascii="Consolas" w:hAnsi="Consolas"/>
          <w:b w:val="0"/>
          <w:i w:val="0"/>
          <w:color w:val="1B2A30"/>
          <w:sz w:val="20"/>
        </w:rPr>
        <w:t>NumberOfDependents</w:t>
      </w:r>
      <w:r>
        <w:rPr>
          <w:rFonts w:ascii="Arial" w:hAnsi="Arial"/>
          <w:b w:val="0"/>
          <w:i w:val="0"/>
          <w:color w:val="1B2A30"/>
          <w:sz w:val="21"/>
        </w:rPr>
        <w:t xml:space="preserve"> before imputing them; log-transform the heavily skewed income, debt-ratio and utilisation fields. All of this is a fixed, non-statistical rule applied globally; the actual median/mode imputation is fitted only on the training fold inside a leakage-safe </w:t>
      </w:r>
      <w:r>
        <w:rPr>
          <w:rFonts w:ascii="Consolas" w:hAnsi="Consolas"/>
          <w:b w:val="0"/>
          <w:i w:val="0"/>
          <w:color w:val="1B2A30"/>
          <w:sz w:val="20"/>
        </w:rPr>
        <w:t>Pipeline</w:t>
      </w:r>
      <w:r>
        <w:rPr>
          <w:rFonts w:ascii="Arial" w:hAnsi="Arial"/>
          <w:b w:val="0"/>
          <w:i w:val="0"/>
          <w:color w:val="1B2A30"/>
          <w:sz w:val="21"/>
        </w:rPr>
        <w:t>.</w:t>
      </w:r>
    </w:p>
    <w:p>
      <w:pPr>
        <w:spacing w:after="160" w:line="293" w:lineRule="auto"/>
        <w:jc w:val="both"/>
      </w:pPr>
      <w:r>
        <w:rPr>
          <w:rFonts w:ascii="Arial" w:hAnsi="Arial"/>
          <w:b/>
          <w:i w:val="0"/>
          <w:color w:val="1B2A30"/>
          <w:sz w:val="21"/>
        </w:rPr>
        <w:t>Feature engineering (executed this stage):</w:t>
      </w:r>
      <w:r>
        <w:rPr>
          <w:rFonts w:ascii="Arial" w:hAnsi="Arial"/>
          <w:b w:val="0"/>
          <w:i w:val="0"/>
          <w:color w:val="1B2A30"/>
          <w:sz w:val="21"/>
        </w:rPr>
        <w:t xml:space="preserve"> </w:t>
      </w:r>
      <w:r>
        <w:rPr>
          <w:rFonts w:ascii="Consolas" w:hAnsi="Consolas"/>
          <w:b w:val="0"/>
          <w:i w:val="0"/>
          <w:color w:val="1B2A30"/>
          <w:sz w:val="20"/>
        </w:rPr>
        <w:t>total_past_due</w:t>
      </w:r>
      <w:r>
        <w:rPr>
          <w:rFonts w:ascii="Arial" w:hAnsi="Arial"/>
          <w:b w:val="0"/>
          <w:i w:val="0"/>
          <w:color w:val="1B2A30"/>
          <w:sz w:val="21"/>
        </w:rPr>
        <w:t xml:space="preserve"> (summed, capped delinquency count), </w:t>
      </w:r>
      <w:r>
        <w:rPr>
          <w:rFonts w:ascii="Consolas" w:hAnsi="Consolas"/>
          <w:b w:val="0"/>
          <w:i w:val="0"/>
          <w:color w:val="1B2A30"/>
          <w:sz w:val="20"/>
        </w:rPr>
        <w:t>has_any_delinquency</w:t>
      </w:r>
      <w:r>
        <w:rPr>
          <w:rFonts w:ascii="Arial" w:hAnsi="Arial"/>
          <w:b w:val="0"/>
          <w:i w:val="0"/>
          <w:color w:val="1B2A30"/>
          <w:sz w:val="21"/>
        </w:rPr>
        <w:t xml:space="preserve"> (binary flag) and </w:t>
      </w:r>
      <w:r>
        <w:rPr>
          <w:rFonts w:ascii="Consolas" w:hAnsi="Consolas"/>
          <w:b w:val="0"/>
          <w:i w:val="0"/>
          <w:color w:val="1B2A30"/>
          <w:sz w:val="20"/>
        </w:rPr>
        <w:t>age_band</w:t>
      </w:r>
      <w:r>
        <w:rPr>
          <w:rFonts w:ascii="Arial" w:hAnsi="Arial"/>
          <w:b w:val="0"/>
          <w:i w:val="0"/>
          <w:color w:val="1B2A30"/>
          <w:sz w:val="21"/>
        </w:rPr>
        <w:t xml:space="preserve"> (bucketed age). Deeper engineering — a debt-service ratio, weight-of-evidence encodings, and utilisation × delinquency interaction terms — is planned for Weeks 5/9.</w:t>
      </w:r>
    </w:p>
    <w:p>
      <w:pPr>
        <w:spacing w:after="160" w:line="293" w:lineRule="auto"/>
        <w:jc w:val="both"/>
      </w:pPr>
      <w:r>
        <w:rPr>
          <w:rFonts w:ascii="Arial" w:hAnsi="Arial"/>
          <w:b/>
          <w:i w:val="0"/>
          <w:color w:val="1B2A30"/>
          <w:sz w:val="21"/>
        </w:rPr>
        <w:t>Class balancing:</w:t>
      </w:r>
      <w:r>
        <w:rPr>
          <w:rFonts w:ascii="Arial" w:hAnsi="Arial"/>
          <w:b w:val="0"/>
          <w:i w:val="0"/>
          <w:color w:val="1B2A30"/>
          <w:sz w:val="21"/>
        </w:rPr>
        <w:t xml:space="preserve"> the Week-2 baseline uses </w:t>
      </w:r>
      <w:r>
        <w:rPr>
          <w:rFonts w:ascii="Consolas" w:hAnsi="Consolas"/>
          <w:b w:val="0"/>
          <w:i w:val="0"/>
          <w:color w:val="1B2A30"/>
          <w:sz w:val="20"/>
        </w:rPr>
        <w:t>class_weight='balanced'</w:t>
      </w:r>
      <w:r>
        <w:rPr>
          <w:rFonts w:ascii="Arial" w:hAnsi="Arial"/>
          <w:b w:val="0"/>
          <w:i w:val="0"/>
          <w:color w:val="1B2A30"/>
          <w:sz w:val="21"/>
        </w:rPr>
        <w:t xml:space="preserve"> in Logistic Regression. SMOTE on the training fold, compared against class-weighted tree ensembles, is planned for Weeks 5/9 once the wider model family is introduced.</w:t>
      </w:r>
    </w:p>
    <w:p>
      <w:pPr>
        <w:spacing w:after="160" w:line="293" w:lineRule="auto"/>
        <w:jc w:val="both"/>
      </w:pPr>
      <w:r>
        <w:rPr>
          <w:rFonts w:ascii="Arial" w:hAnsi="Arial"/>
          <w:b/>
          <w:i w:val="0"/>
          <w:color w:val="1B2A30"/>
          <w:sz w:val="21"/>
        </w:rPr>
        <w:t>Baseline model (executed this stage):</w:t>
      </w:r>
      <w:r>
        <w:rPr>
          <w:rFonts w:ascii="Arial" w:hAnsi="Arial"/>
          <w:b w:val="0"/>
          <w:i w:val="0"/>
          <w:color w:val="1B2A30"/>
          <w:sz w:val="21"/>
        </w:rPr>
        <w:t xml:space="preserve"> </w:t>
      </w:r>
      <w:r>
        <w:rPr>
          <w:rFonts w:ascii="Arial" w:hAnsi="Arial"/>
          <w:b w:val="0"/>
          <w:i/>
          <w:color w:val="1B2A30"/>
          <w:sz w:val="21"/>
        </w:rPr>
        <w:t>Logistic Regression</w:t>
      </w:r>
      <w:r>
        <w:rPr>
          <w:rFonts w:ascii="Arial" w:hAnsi="Arial"/>
          <w:b w:val="0"/>
          <w:i w:val="0"/>
          <w:color w:val="1B2A30"/>
          <w:sz w:val="21"/>
        </w:rPr>
        <w:t xml:space="preserve"> — a deliberate choice, not a default. The professor's guidance is explicit that logistic regression is only a suggestion and any model may serve as the baseline; here it is a strong one, since it trains in seconds on 150,000 rows, its coefficients translate directly into interpretable odds ratios, and it sets an honest low-complexity bar the Week-5/9 ensembles must clear before their added complexity is justified.</w:t>
      </w:r>
    </w:p>
    <w:p>
      <w:pPr>
        <w:spacing w:after="160" w:line="293" w:lineRule="auto"/>
        <w:jc w:val="both"/>
      </w:pPr>
      <w:r>
        <w:rPr>
          <w:rFonts w:ascii="Arial" w:hAnsi="Arial"/>
          <w:b/>
          <w:i w:val="0"/>
          <w:color w:val="1B2A30"/>
          <w:sz w:val="21"/>
        </w:rPr>
        <w:t>Improved models (planned, Weeks 5/9):</w:t>
      </w:r>
      <w:r>
        <w:rPr>
          <w:rFonts w:ascii="Arial" w:hAnsi="Arial"/>
          <w:b w:val="0"/>
          <w:i w:val="0"/>
          <w:color w:val="1B2A30"/>
          <w:sz w:val="21"/>
        </w:rPr>
        <w:t xml:space="preserve"> Random Forest, Gradient Boosting, AdaBoost, XGBoost and LightGBM — the family named for P1 — compared against the baseline on the same split.</w:t>
      </w:r>
    </w:p>
    <w:p>
      <w:pPr>
        <w:spacing w:after="160" w:line="293" w:lineRule="auto"/>
        <w:jc w:val="both"/>
      </w:pPr>
      <w:r>
        <w:rPr>
          <w:rFonts w:ascii="Arial" w:hAnsi="Arial"/>
          <w:b/>
          <w:i w:val="0"/>
          <w:color w:val="1B2A30"/>
          <w:sz w:val="21"/>
        </w:rPr>
        <w:t>Hyperparameter tuning (planned):</w:t>
      </w:r>
      <w:r>
        <w:rPr>
          <w:rFonts w:ascii="Arial" w:hAnsi="Arial"/>
          <w:b w:val="0"/>
          <w:i w:val="0"/>
          <w:color w:val="1B2A30"/>
          <w:sz w:val="21"/>
        </w:rPr>
        <w:t xml:space="preserve"> </w:t>
      </w:r>
      <w:r>
        <w:rPr>
          <w:rFonts w:ascii="Consolas" w:hAnsi="Consolas"/>
          <w:b w:val="0"/>
          <w:i w:val="0"/>
          <w:color w:val="1B2A30"/>
          <w:sz w:val="20"/>
        </w:rPr>
        <w:t>RandomizedSearchCV</w:t>
      </w:r>
      <w:r>
        <w:rPr>
          <w:rFonts w:ascii="Arial" w:hAnsi="Arial"/>
          <w:b w:val="0"/>
          <w:i w:val="0"/>
          <w:color w:val="1B2A30"/>
          <w:sz w:val="21"/>
        </w:rPr>
        <w:t xml:space="preserve"> for a broad sweep, refined with </w:t>
      </w:r>
      <w:r>
        <w:rPr>
          <w:rFonts w:ascii="Consolas" w:hAnsi="Consolas"/>
          <w:b w:val="0"/>
          <w:i w:val="0"/>
          <w:color w:val="1B2A30"/>
          <w:sz w:val="20"/>
        </w:rPr>
        <w:t>GridSearchCV</w:t>
      </w:r>
      <w:r>
        <w:rPr>
          <w:rFonts w:ascii="Arial" w:hAnsi="Arial"/>
          <w:b w:val="0"/>
          <w:i w:val="0"/>
          <w:color w:val="1B2A30"/>
          <w:sz w:val="21"/>
        </w:rPr>
        <w:t>, under 5-fold stratified cross-validation scored on ROC-AUC (PR-AUC tracked alongside); Bayesian optimisation (e.g. Optuna) as a candidate upgrade once the full ensemble family is in scope.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61"/>
            <w:shd w:val="clear" w:color="auto" w:fill="0F4C5C"/>
            <w:tcMar>
              <w:top w:w="30" w:type="dxa"/>
              <w:bottom w:w="3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7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ind w:left="160"/>
            </w:pPr>
            <w:r>
              <w:rPr>
                <w:rFonts w:ascii="Arial" w:hAnsi="Arial"/>
                <w:b/>
                <w:i w:val="0"/>
                <w:color w:val="0F4C5C"/>
                <w:sz w:val="28"/>
              </w:rPr>
              <w:t>Tools &amp; Technologies</w:t>
            </w:r>
          </w:p>
        </w:tc>
      </w:tr>
    </w:tbl>
    <w:p>
      <w:pPr>
        <w:spacing w:before="40" w:after="120"/>
        <w:pBdr>
          <w:bottom w:val="single" w:sz="8" w:space="3" w:color="D3DEE2"/>
        </w:pBdr>
      </w:pP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1B2A30"/>
          <w:sz w:val="21"/>
        </w:rPr>
        <w:t>Language:</w:t>
      </w:r>
      <w:r>
        <w:rPr>
          <w:rFonts w:ascii="Arial" w:hAnsi="Arial"/>
          <w:b w:val="0"/>
          <w:i w:val="0"/>
          <w:color w:val="1B2A30"/>
          <w:sz w:val="21"/>
        </w:rPr>
        <w:t xml:space="preserve"> Python 3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1B2A30"/>
          <w:sz w:val="21"/>
        </w:rPr>
        <w:t>Data handling:</w:t>
      </w:r>
      <w:r>
        <w:rPr>
          <w:rFonts w:ascii="Arial" w:hAnsi="Arial"/>
          <w:b w:val="0"/>
          <w:i w:val="0"/>
          <w:color w:val="1B2A30"/>
          <w:sz w:val="21"/>
        </w:rPr>
        <w:t xml:space="preserve"> pandas, NumPy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1B2A30"/>
          <w:sz w:val="21"/>
        </w:rPr>
        <w:t>Visualisation:</w:t>
      </w:r>
      <w:r>
        <w:rPr>
          <w:rFonts w:ascii="Arial" w:hAnsi="Arial"/>
          <w:b w:val="0"/>
          <w:i w:val="0"/>
          <w:color w:val="1B2A30"/>
          <w:sz w:val="21"/>
        </w:rPr>
        <w:t xml:space="preserve"> Matplotlib, Seaborn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1B2A30"/>
          <w:sz w:val="21"/>
        </w:rPr>
        <w:t>Modelling:</w:t>
      </w:r>
      <w:r>
        <w:rPr>
          <w:rFonts w:ascii="Arial" w:hAnsi="Arial"/>
          <w:b w:val="0"/>
          <w:i w:val="0"/>
          <w:color w:val="1B2A30"/>
          <w:sz w:val="21"/>
        </w:rPr>
        <w:t xml:space="preserve"> scikit-learn (Logistic Regression baseline; Random Forest, Gradient Boosting, AdaBoost, pipelines, </w:t>
      </w:r>
      <w:r>
        <w:rPr>
          <w:rFonts w:ascii="Consolas" w:hAnsi="Consolas"/>
          <w:b w:val="0"/>
          <w:i w:val="0"/>
          <w:color w:val="1B2A30"/>
          <w:sz w:val="20"/>
        </w:rPr>
        <w:t>ColumnTransformer</w:t>
      </w:r>
      <w:r>
        <w:rPr>
          <w:rFonts w:ascii="Arial" w:hAnsi="Arial"/>
          <w:b w:val="0"/>
          <w:i w:val="0"/>
          <w:color w:val="1B2A30"/>
          <w:sz w:val="21"/>
        </w:rPr>
        <w:t xml:space="preserve">, </w:t>
      </w:r>
      <w:r>
        <w:rPr>
          <w:rFonts w:ascii="Consolas" w:hAnsi="Consolas"/>
          <w:b w:val="0"/>
          <w:i w:val="0"/>
          <w:color w:val="1B2A30"/>
          <w:sz w:val="20"/>
        </w:rPr>
        <w:t>SimpleImputer</w:t>
      </w:r>
      <w:r>
        <w:rPr>
          <w:rFonts w:ascii="Arial" w:hAnsi="Arial"/>
          <w:b w:val="0"/>
          <w:i w:val="0"/>
          <w:color w:val="1B2A30"/>
          <w:sz w:val="21"/>
        </w:rPr>
        <w:t xml:space="preserve">, </w:t>
      </w:r>
      <w:r>
        <w:rPr>
          <w:rFonts w:ascii="Consolas" w:hAnsi="Consolas"/>
          <w:b w:val="0"/>
          <w:i w:val="0"/>
          <w:color w:val="1B2A30"/>
          <w:sz w:val="20"/>
        </w:rPr>
        <w:t>GridSearchCV</w:t>
      </w:r>
      <w:r>
        <w:rPr>
          <w:rFonts w:ascii="Arial" w:hAnsi="Arial"/>
          <w:b w:val="0"/>
          <w:i w:val="0"/>
          <w:color w:val="1B2A30"/>
          <w:sz w:val="21"/>
        </w:rPr>
        <w:t xml:space="preserve"> / </w:t>
      </w:r>
      <w:r>
        <w:rPr>
          <w:rFonts w:ascii="Consolas" w:hAnsi="Consolas"/>
          <w:b w:val="0"/>
          <w:i w:val="0"/>
          <w:color w:val="1B2A30"/>
          <w:sz w:val="20"/>
        </w:rPr>
        <w:t>RandomizedSearchCV</w:t>
      </w:r>
      <w:r>
        <w:rPr>
          <w:rFonts w:ascii="Arial" w:hAnsi="Arial"/>
          <w:b w:val="0"/>
          <w:i w:val="0"/>
          <w:color w:val="1B2A30"/>
          <w:sz w:val="21"/>
        </w:rPr>
        <w:t xml:space="preserve"> for later weeks), XGBoost, LightGBM, </w:t>
      </w:r>
      <w:r>
        <w:rPr>
          <w:rFonts w:ascii="Consolas" w:hAnsi="Consolas"/>
          <w:b w:val="0"/>
          <w:i w:val="0"/>
          <w:color w:val="1B2A30"/>
          <w:sz w:val="20"/>
        </w:rPr>
        <w:t>imbalanced-learn</w:t>
      </w:r>
      <w:r>
        <w:rPr>
          <w:rFonts w:ascii="Arial" w:hAnsi="Arial"/>
          <w:b w:val="0"/>
          <w:i w:val="0"/>
          <w:color w:val="1B2A30"/>
          <w:sz w:val="21"/>
        </w:rPr>
        <w:t xml:space="preserve"> (SMOTE, planned)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1B2A30"/>
          <w:sz w:val="21"/>
        </w:rPr>
        <w:t>Environment:</w:t>
      </w:r>
      <w:r>
        <w:rPr>
          <w:rFonts w:ascii="Arial" w:hAnsi="Arial"/>
          <w:b w:val="0"/>
          <w:i w:val="0"/>
          <w:color w:val="1B2A30"/>
          <w:sz w:val="21"/>
        </w:rPr>
        <w:t xml:space="preserve"> Jupyter Notebook, run with a fixed random seed so the split and results repeat on every run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61"/>
            <w:shd w:val="clear" w:color="auto" w:fill="0F4C5C"/>
            <w:tcMar>
              <w:top w:w="30" w:type="dxa"/>
              <w:bottom w:w="3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8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ind w:left="160"/>
            </w:pPr>
            <w:r>
              <w:rPr>
                <w:rFonts w:ascii="Arial" w:hAnsi="Arial"/>
                <w:b/>
                <w:i w:val="0"/>
                <w:color w:val="0F4C5C"/>
                <w:sz w:val="28"/>
              </w:rPr>
              <w:t>Expected Challenges</w:t>
            </w:r>
          </w:p>
        </w:tc>
      </w:tr>
    </w:tbl>
    <w:p>
      <w:pPr>
        <w:spacing w:before="40" w:after="120"/>
        <w:pBdr>
          <w:bottom w:val="single" w:sz="8" w:space="3" w:color="D3DEE2"/>
        </w:pBdr>
      </w:pP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1B2A30"/>
          <w:sz w:val="21"/>
        </w:rPr>
        <w:t>Severe class imbalance (≈ 14 : 1):</w:t>
      </w:r>
      <w:r>
        <w:rPr>
          <w:rFonts w:ascii="Arial" w:hAnsi="Arial"/>
          <w:b w:val="0"/>
          <w:i w:val="0"/>
          <w:color w:val="1B2A30"/>
          <w:sz w:val="21"/>
        </w:rPr>
        <w:t xml:space="preserve"> requires class weighting, resampling (SMOTE) and threshold tuning, plus PR-AUC alongside ROC-AUC and accuracy.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1B2A30"/>
          <w:sz w:val="21"/>
        </w:rPr>
        <w:t>Genuine data-quality issues:</w:t>
      </w:r>
      <w:r>
        <w:rPr>
          <w:rFonts w:ascii="Arial" w:hAnsi="Arial"/>
          <w:b w:val="0"/>
          <w:i w:val="0"/>
          <w:color w:val="1B2A30"/>
          <w:sz w:val="21"/>
        </w:rPr>
        <w:t xml:space="preserve"> sentinel delinquency codes, ~20% missing income, duplicate rows and an invalid age all need explicit, defensible treatment rather than silent deletion.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1B2A30"/>
          <w:sz w:val="21"/>
        </w:rPr>
        <w:t>Extreme numeric outliers:</w:t>
      </w:r>
      <w:r>
        <w:rPr>
          <w:rFonts w:ascii="Arial" w:hAnsi="Arial"/>
          <w:b w:val="0"/>
          <w:i w:val="0"/>
          <w:color w:val="1B2A30"/>
          <w:sz w:val="21"/>
        </w:rPr>
        <w:t xml:space="preserve"> utilisation and debt-ratio fields carry physically implausible maxima that need log-transforming or capping without discarding informative records.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1B2A30"/>
          <w:sz w:val="21"/>
        </w:rPr>
        <w:t>Avoiding data leakage:</w:t>
      </w:r>
      <w:r>
        <w:rPr>
          <w:rFonts w:ascii="Arial" w:hAnsi="Arial"/>
          <w:b w:val="0"/>
          <w:i w:val="0"/>
          <w:color w:val="1B2A30"/>
          <w:sz w:val="21"/>
        </w:rPr>
        <w:t xml:space="preserve"> all statistical imputation, scaling and encoding are fitted only on training folds via scikit-learn pipelines; only fixed, non-statistical cleaning rules are applied globally.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i w:val="0"/>
          <w:color w:val="1B2A30"/>
          <w:sz w:val="21"/>
        </w:rPr>
        <w:t>Interpretation at scale:</w:t>
      </w:r>
      <w:r>
        <w:rPr>
          <w:rFonts w:ascii="Arial" w:hAnsi="Arial"/>
          <w:b w:val="0"/>
          <w:i w:val="0"/>
          <w:color w:val="1B2A30"/>
          <w:sz w:val="21"/>
        </w:rPr>
        <w:t xml:space="preserve"> moving from Logistic-Regression coefficients to feature importances / SHAP values for the Week-5/9 ensemble family, while keeping the business narrative consistent.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461"/>
            <w:shd w:val="clear" w:color="auto" w:fill="0F4C5C"/>
            <w:tcMar>
              <w:top w:w="30" w:type="dxa"/>
              <w:bottom w:w="3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9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ind w:left="160"/>
            </w:pPr>
            <w:r>
              <w:rPr>
                <w:rFonts w:ascii="Arial" w:hAnsi="Arial"/>
                <w:b/>
                <w:i w:val="0"/>
                <w:color w:val="0F4C5C"/>
                <w:sz w:val="28"/>
              </w:rPr>
              <w:t>References / Dataset Sources</w:t>
            </w:r>
          </w:p>
        </w:tc>
      </w:tr>
    </w:tbl>
    <w:p>
      <w:pPr>
        <w:spacing w:before="40" w:after="120"/>
        <w:pBdr>
          <w:bottom w:val="single" w:sz="8" w:space="3" w:color="D3DEE2"/>
        </w:pBdr>
      </w:pPr>
    </w:p>
    <w:p>
      <w:pPr>
        <w:spacing w:after="80" w:line="276" w:lineRule="auto"/>
        <w:ind w:left="320" w:hanging="320"/>
      </w:pPr>
      <w:r>
        <w:rPr>
          <w:rFonts w:ascii="Arial" w:hAnsi="Arial"/>
          <w:b/>
          <w:i w:val="0"/>
          <w:color w:val="0F4C5C"/>
          <w:sz w:val="21"/>
        </w:rPr>
        <w:t xml:space="preserve">1.  </w:t>
      </w:r>
      <w:r>
        <w:rPr>
          <w:rFonts w:ascii="Arial" w:hAnsi="Arial"/>
          <w:b w:val="0"/>
          <w:i/>
          <w:color w:val="1B2A30"/>
          <w:sz w:val="21"/>
        </w:rPr>
        <w:t>Give Me Some Credit</w:t>
      </w:r>
      <w:r>
        <w:rPr>
          <w:rFonts w:ascii="Arial" w:hAnsi="Arial"/>
          <w:b w:val="0"/>
          <w:i w:val="0"/>
          <w:color w:val="1B2A30"/>
          <w:sz w:val="21"/>
        </w:rPr>
        <w:t>, Kaggle competition dataset (2011). kaggle.com/competitions/GiveMeSomeCredit/data</w:t>
      </w:r>
    </w:p>
    <w:p>
      <w:pPr>
        <w:spacing w:after="80" w:line="276" w:lineRule="auto"/>
        <w:ind w:left="320" w:hanging="320"/>
      </w:pPr>
      <w:r>
        <w:rPr>
          <w:rFonts w:ascii="Arial" w:hAnsi="Arial"/>
          <w:b/>
          <w:i w:val="0"/>
          <w:color w:val="0F4C5C"/>
          <w:sz w:val="21"/>
        </w:rPr>
        <w:t xml:space="preserve">2.  </w:t>
      </w:r>
      <w:r>
        <w:rPr>
          <w:rFonts w:ascii="Arial" w:hAnsi="Arial"/>
          <w:b w:val="0"/>
          <w:i w:val="0"/>
          <w:color w:val="1B2A30"/>
          <w:sz w:val="21"/>
        </w:rPr>
        <w:t xml:space="preserve">Official competition </w:t>
      </w:r>
      <w:r>
        <w:rPr>
          <w:rFonts w:ascii="Consolas" w:hAnsi="Consolas"/>
          <w:b w:val="0"/>
          <w:i w:val="0"/>
          <w:color w:val="1B2A30"/>
          <w:sz w:val="20"/>
        </w:rPr>
        <w:t>Data Dictionary.xls</w:t>
      </w:r>
      <w:r>
        <w:rPr>
          <w:rFonts w:ascii="Arial" w:hAnsi="Arial"/>
          <w:b w:val="0"/>
          <w:i w:val="0"/>
          <w:color w:val="1B2A30"/>
          <w:sz w:val="21"/>
        </w:rPr>
        <w:t>, bundled with the dataset download.</w:t>
      </w:r>
    </w:p>
    <w:p>
      <w:pPr>
        <w:spacing w:after="80" w:line="276" w:lineRule="auto"/>
        <w:ind w:left="320" w:hanging="320"/>
      </w:pPr>
      <w:r>
        <w:rPr>
          <w:rFonts w:ascii="Arial" w:hAnsi="Arial"/>
          <w:b/>
          <w:i w:val="0"/>
          <w:color w:val="0F4C5C"/>
          <w:sz w:val="21"/>
        </w:rPr>
        <w:t xml:space="preserve">3.  </w:t>
      </w:r>
      <w:r>
        <w:rPr>
          <w:rFonts w:ascii="Arial" w:hAnsi="Arial"/>
          <w:b w:val="0"/>
          <w:i w:val="0"/>
          <w:color w:val="1B2A30"/>
          <w:sz w:val="21"/>
        </w:rPr>
        <w:t xml:space="preserve">Pedregosa, F. et al. (2011). </w:t>
      </w:r>
      <w:r>
        <w:rPr>
          <w:rFonts w:ascii="Arial" w:hAnsi="Arial"/>
          <w:b w:val="0"/>
          <w:i/>
          <w:color w:val="1B2A30"/>
          <w:sz w:val="21"/>
        </w:rPr>
        <w:t>Scikit-learn: Machine Learning in Python.</w:t>
      </w:r>
      <w:r>
        <w:rPr>
          <w:rFonts w:ascii="Arial" w:hAnsi="Arial"/>
          <w:b w:val="0"/>
          <w:i w:val="0"/>
          <w:color w:val="1B2A30"/>
          <w:sz w:val="21"/>
        </w:rPr>
        <w:t xml:space="preserve"> Journal of Machine Learning Research, 12, 2825–2830.</w:t>
      </w:r>
    </w:p>
    <w:p>
      <w:pPr>
        <w:spacing w:after="80" w:line="276" w:lineRule="auto"/>
        <w:ind w:left="320" w:hanging="320"/>
      </w:pPr>
      <w:r>
        <w:rPr>
          <w:rFonts w:ascii="Arial" w:hAnsi="Arial"/>
          <w:b/>
          <w:i w:val="0"/>
          <w:color w:val="0F4C5C"/>
          <w:sz w:val="21"/>
        </w:rPr>
        <w:t xml:space="preserve">4.  </w:t>
      </w:r>
      <w:r>
        <w:rPr>
          <w:rFonts w:ascii="Arial" w:hAnsi="Arial"/>
          <w:b w:val="0"/>
          <w:i w:val="0"/>
          <w:color w:val="1B2A30"/>
          <w:sz w:val="21"/>
        </w:rPr>
        <w:t xml:space="preserve">Chen, T. &amp; Guestrin, C. (2016). </w:t>
      </w:r>
      <w:r>
        <w:rPr>
          <w:rFonts w:ascii="Arial" w:hAnsi="Arial"/>
          <w:b w:val="0"/>
          <w:i/>
          <w:color w:val="1B2A30"/>
          <w:sz w:val="21"/>
        </w:rPr>
        <w:t>XGBoost: A Scalable Tree Boosting System.</w:t>
      </w:r>
      <w:r>
        <w:rPr>
          <w:rFonts w:ascii="Arial" w:hAnsi="Arial"/>
          <w:b w:val="0"/>
          <w:i w:val="0"/>
          <w:color w:val="1B2A30"/>
          <w:sz w:val="21"/>
        </w:rPr>
        <w:t xml:space="preserve"> Proceedings of KDD '16.</w:t>
      </w:r>
    </w:p>
    <w:p>
      <w:pPr>
        <w:spacing w:after="80" w:line="276" w:lineRule="auto"/>
        <w:ind w:left="320" w:hanging="320"/>
      </w:pPr>
      <w:r>
        <w:rPr>
          <w:rFonts w:ascii="Arial" w:hAnsi="Arial"/>
          <w:b/>
          <w:i w:val="0"/>
          <w:color w:val="0F4C5C"/>
          <w:sz w:val="21"/>
        </w:rPr>
        <w:t xml:space="preserve">5.  </w:t>
      </w:r>
      <w:r>
        <w:rPr>
          <w:rFonts w:ascii="Arial" w:hAnsi="Arial"/>
          <w:b w:val="0"/>
          <w:i w:val="0"/>
          <w:color w:val="1B2A30"/>
          <w:sz w:val="21"/>
        </w:rPr>
        <w:t xml:space="preserve">Ke, G. et al. (2017). </w:t>
      </w:r>
      <w:r>
        <w:rPr>
          <w:rFonts w:ascii="Arial" w:hAnsi="Arial"/>
          <w:b w:val="0"/>
          <w:i/>
          <w:color w:val="1B2A30"/>
          <w:sz w:val="21"/>
        </w:rPr>
        <w:t>LightGBM: A Highly Efficient Gradient Boosting Decision Tree.</w:t>
      </w:r>
      <w:r>
        <w:rPr>
          <w:rFonts w:ascii="Arial" w:hAnsi="Arial"/>
          <w:b w:val="0"/>
          <w:i w:val="0"/>
          <w:color w:val="1B2A30"/>
          <w:sz w:val="21"/>
        </w:rPr>
        <w:t xml:space="preserve"> Advances in Neural Information Processing Systems (NeurIPS).</w:t>
      </w:r>
    </w:p>
    <w:p>
      <w:pPr>
        <w:spacing w:after="80" w:line="276" w:lineRule="auto"/>
        <w:ind w:left="320" w:hanging="320"/>
      </w:pPr>
      <w:r>
        <w:rPr>
          <w:rFonts w:ascii="Arial" w:hAnsi="Arial"/>
          <w:b/>
          <w:i w:val="0"/>
          <w:color w:val="0F4C5C"/>
          <w:sz w:val="21"/>
        </w:rPr>
        <w:t xml:space="preserve">6.  </w:t>
      </w:r>
      <w:r>
        <w:rPr>
          <w:rFonts w:ascii="Arial" w:hAnsi="Arial"/>
          <w:b w:val="0"/>
          <w:i w:val="0"/>
          <w:color w:val="1B2A30"/>
          <w:sz w:val="21"/>
        </w:rPr>
        <w:t xml:space="preserve">Chawla, N. V. et al. (2002). </w:t>
      </w:r>
      <w:r>
        <w:rPr>
          <w:rFonts w:ascii="Arial" w:hAnsi="Arial"/>
          <w:b w:val="0"/>
          <w:i/>
          <w:color w:val="1B2A30"/>
          <w:sz w:val="21"/>
        </w:rPr>
        <w:t>SMOTE: Synthetic Minority Over-sampling Technique.</w:t>
      </w:r>
      <w:r>
        <w:rPr>
          <w:rFonts w:ascii="Arial" w:hAnsi="Arial"/>
          <w:b w:val="0"/>
          <w:i w:val="0"/>
          <w:color w:val="1B2A30"/>
          <w:sz w:val="21"/>
        </w:rPr>
        <w:t xml:space="preserve"> Journal of Artificial Intelligence Research, 16, 321–357.</w:t>
      </w:r>
    </w:p>
    <w:sectPr w:rsidR="00FC693F" w:rsidRPr="0006063C" w:rsidSect="00034616">
      <w:footerReference w:type="default" r:id="rId9"/>
      <w:pgSz w:w="12240" w:h="15840"/>
      <w:pgMar w:top="1224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/>
      <w:pBdr>
        <w:bottom w:val="single" w:sz="6" w:space="3" w:color="D3DEE2"/>
      </w:pBdr>
    </w:pPr>
  </w:p>
  <w:p>
    <w:pPr>
      <w:tabs>
        <w:tab w:pos="9648" w:val="right"/>
      </w:tabs>
    </w:pPr>
    <w:r>
      <w:rPr>
        <w:rFonts w:ascii="Arial" w:hAnsi="Arial"/>
        <w:b w:val="0"/>
        <w:i w:val="0"/>
        <w:color w:val="5C6B72"/>
        <w:sz w:val="16"/>
      </w:rPr>
      <w:t>Sandeep Kumar · 2025EM1200293</w:t>
      <w:tab/>
    </w:r>
    <w:r>
      <w:rPr>
        <w:rFonts w:ascii="Arial" w:hAnsi="Arial"/>
        <w:b w:val="0"/>
        <w:i w:val="0"/>
        <w:color w:val="5C6B72"/>
        <w:sz w:val="16"/>
      </w:rPr>
      <w:t xml:space="preserve">Week-2 Project Outline · Page </w:t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B2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