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1FC47" w14:textId="5C89B4C4" w:rsidR="001555E4" w:rsidRDefault="00EB27DF">
      <w:pPr>
        <w:rPr>
          <w:lang w:val="en-US"/>
        </w:rPr>
      </w:pPr>
      <w:r>
        <w:rPr>
          <w:lang w:val="en-US"/>
        </w:rPr>
        <w:t>The architectural approach is based on Micro service, saga pattern and Cloud based   which Futuristic, scalable covering all NFR requirement.</w:t>
      </w:r>
    </w:p>
    <w:p w14:paraId="69EEDAD7" w14:textId="77777777" w:rsidR="00EB27DF" w:rsidRPr="00EB27DF" w:rsidRDefault="00EB27DF" w:rsidP="00EB27DF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B27D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Moving from the front-end client, we now address back-end microservices communicate with each other.</w:t>
      </w:r>
    </w:p>
    <w:p w14:paraId="0B4E67D7" w14:textId="77777777" w:rsidR="00EB27DF" w:rsidRPr="00EB27DF" w:rsidRDefault="00EB27DF" w:rsidP="00EB27DF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B27D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When constructing a cloud-native application, you'll want to be sensitive to how back-end services communicate with each other. Ideally, the less inter-service communication, the better. However, avoidance isn't always possible as back-end services often rely on one another to complete an operation.</w:t>
      </w:r>
    </w:p>
    <w:p w14:paraId="35BCC42A" w14:textId="5E231897" w:rsidR="00EB27DF" w:rsidRDefault="00EB27DF" w:rsidP="00EB27DF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B27D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There are several widely accepted approaches to implementing cross-service communication. </w:t>
      </w:r>
      <w:r w:rsidRPr="00EB27D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 communication</w:t>
      </w:r>
      <w:r w:rsidRPr="00EB27DF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 xml:space="preserve"> interaction</w:t>
      </w:r>
      <w:r w:rsidRPr="00EB27D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will often determine the best approach.</w:t>
      </w:r>
    </w:p>
    <w:p w14:paraId="3FBFB182" w14:textId="518350BA" w:rsidR="00EB27DF" w:rsidRPr="00EB27DF" w:rsidRDefault="00EB27DF" w:rsidP="00EB27DF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B27D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Consider the following interaction types:</w:t>
      </w:r>
    </w:p>
    <w:p w14:paraId="3809B074" w14:textId="77777777" w:rsidR="00EB27DF" w:rsidRPr="00EB27DF" w:rsidRDefault="00EB27DF" w:rsidP="00EB27DF">
      <w:pPr>
        <w:pStyle w:val="NormalWeb"/>
        <w:numPr>
          <w:ilvl w:val="0"/>
          <w:numId w:val="1"/>
        </w:numPr>
        <w:shd w:val="clear" w:color="auto" w:fill="FFFFFF"/>
        <w:ind w:left="129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B27DF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Query</w:t>
      </w:r>
      <w:r w:rsidRPr="00EB27D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– when a calling microservice requires a response from a called microservice, such as, "Hey, give me the buyer information for a given customer Id."</w:t>
      </w:r>
    </w:p>
    <w:p w14:paraId="66C31F04" w14:textId="77777777" w:rsidR="00EB27DF" w:rsidRPr="00EB27DF" w:rsidRDefault="00EB27DF" w:rsidP="00EB27DF">
      <w:pPr>
        <w:pStyle w:val="NormalWeb"/>
        <w:numPr>
          <w:ilvl w:val="0"/>
          <w:numId w:val="1"/>
        </w:numPr>
        <w:shd w:val="clear" w:color="auto" w:fill="FFFFFF"/>
        <w:ind w:left="129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B27DF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Command</w:t>
      </w:r>
      <w:r w:rsidRPr="00EB27D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– when the calling microservice needs another microservice to execute an action but doesn't require a response, such as, "Hey, just ship this order."</w:t>
      </w:r>
    </w:p>
    <w:p w14:paraId="6689C43A" w14:textId="03CAD168" w:rsidR="00EB27DF" w:rsidRPr="00EB27DF" w:rsidRDefault="00EB27DF" w:rsidP="00EB27DF">
      <w:pPr>
        <w:pStyle w:val="NormalWeb"/>
        <w:numPr>
          <w:ilvl w:val="0"/>
          <w:numId w:val="1"/>
        </w:numPr>
        <w:shd w:val="clear" w:color="auto" w:fill="FFFFFF"/>
        <w:ind w:left="129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B27DF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Event</w:t>
      </w:r>
      <w:r w:rsidRPr="00EB27D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 – when a microservice, called the publisher, raises an event that state has </w:t>
      </w:r>
      <w:r w:rsidRPr="00EB27D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changed,</w:t>
      </w:r>
      <w:r w:rsidRPr="00EB27D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or an action has occurred. Other microservices, called subscribers, who are interested, can react to the event appropriately. The publisher and the subscribers aren't aware of each other.</w:t>
      </w:r>
    </w:p>
    <w:p w14:paraId="4E39D4DD" w14:textId="29E8AD27" w:rsidR="00EB27DF" w:rsidRDefault="00EB27DF" w:rsidP="00EB27DF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B27D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Microservice systems typically use a combination of these interaction types when executing operations that require cross-service interaction. </w:t>
      </w:r>
    </w:p>
    <w:p w14:paraId="784FA63E" w14:textId="77777777" w:rsidR="00EB27DF" w:rsidRPr="00EB27DF" w:rsidRDefault="00EB27DF" w:rsidP="00EB27DF">
      <w:pPr>
        <w:shd w:val="clear" w:color="auto" w:fill="FFFFFF"/>
        <w:spacing w:before="75" w:after="225" w:line="240" w:lineRule="auto"/>
        <w:rPr>
          <w:lang w:val="en-US"/>
        </w:rPr>
      </w:pPr>
      <w:r w:rsidRPr="00EB27DF">
        <w:rPr>
          <w:lang w:val="en-US"/>
        </w:rPr>
        <w:t>The main benefit of the Saga Pattern is that it helps maintain data consistency across multiple services without tight coupling. This is an extremely important aspect for a microservices architecture.</w:t>
      </w:r>
    </w:p>
    <w:p w14:paraId="22A9882B" w14:textId="77777777" w:rsidR="00EB27DF" w:rsidRPr="00EB27DF" w:rsidRDefault="00EB27DF" w:rsidP="00EB27DF">
      <w:pPr>
        <w:shd w:val="clear" w:color="auto" w:fill="FFFFFF"/>
        <w:spacing w:before="75" w:after="225" w:line="240" w:lineRule="auto"/>
        <w:rPr>
          <w:lang w:val="en-US"/>
        </w:rPr>
      </w:pPr>
      <w:r w:rsidRPr="00EB27DF">
        <w:rPr>
          <w:lang w:val="en-US"/>
        </w:rPr>
        <w:t xml:space="preserve">However, the main disadvantage of the Saga Pattern is the apparent complexity from a programming point of view. Also, developers are not as well accustomed to writing Sagas as traditional transactions. The other challenge is that compensating transactions also </w:t>
      </w:r>
      <w:proofErr w:type="gramStart"/>
      <w:r w:rsidRPr="00EB27DF">
        <w:rPr>
          <w:lang w:val="en-US"/>
        </w:rPr>
        <w:t>have to</w:t>
      </w:r>
      <w:proofErr w:type="gramEnd"/>
      <w:r w:rsidRPr="00EB27DF">
        <w:rPr>
          <w:lang w:val="en-US"/>
        </w:rPr>
        <w:t xml:space="preserve"> be designed to make Sagas work.</w:t>
      </w:r>
    </w:p>
    <w:p w14:paraId="5E4784DD" w14:textId="77777777" w:rsidR="00EB27DF" w:rsidRPr="00EB27DF" w:rsidRDefault="00EB27DF" w:rsidP="00EB27DF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37D2D4E6" w14:textId="3E7D59E7" w:rsidR="00EB27DF" w:rsidRPr="00EB27DF" w:rsidRDefault="00EB27DF" w:rsidP="00EB27DF">
      <w:pPr>
        <w:rPr>
          <w:lang w:val="en-US"/>
        </w:rPr>
      </w:pPr>
    </w:p>
    <w:sectPr w:rsidR="00EB27DF" w:rsidRPr="00EB2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D25F1"/>
    <w:multiLevelType w:val="multilevel"/>
    <w:tmpl w:val="8542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DF"/>
    <w:rsid w:val="001555E4"/>
    <w:rsid w:val="00EB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5A4E"/>
  <w15:chartTrackingRefBased/>
  <w15:docId w15:val="{C9287FBD-02FE-4553-A424-C7ECD4EA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B27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0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Choubey</dc:creator>
  <cp:keywords/>
  <dc:description/>
  <cp:lastModifiedBy>Sandeep Choubey</cp:lastModifiedBy>
  <cp:revision>1</cp:revision>
  <dcterms:created xsi:type="dcterms:W3CDTF">2021-10-06T15:04:00Z</dcterms:created>
  <dcterms:modified xsi:type="dcterms:W3CDTF">2021-10-06T15:12:00Z</dcterms:modified>
</cp:coreProperties>
</file>