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Enterprise Travel &amp; Expense Operations Manual</w:t>
      </w:r>
    </w:p>
    <w:p>
      <w:r>
        <w:t>This document intentionally contains mixed enterprise content: headings, paragraphs, bullet lists, tables, policy rules, examples, and appendices. It is designed for testing document parsing, metadata extraction, structure-aware chunking, retrieval, and RAG evaluation.</w:t>
      </w:r>
    </w:p>
    <w:p>
      <w:pPr>
        <w:pStyle w:val="Heading1"/>
      </w:pPr>
      <w:r>
        <w:t>1. Overview</w:t>
      </w:r>
    </w:p>
    <w:p>
      <w:r>
        <w:t>The Travel and Expense Operations Manual defines how employees request business travel, book transportation and accommodation, submit expenses, obtain approvals, and receive reimbursement. The rules below apply to employees and approved contractors unless a regional policy explicitly states otherwise.</w:t>
      </w:r>
    </w:p>
    <w:p>
      <w:pPr>
        <w:pStyle w:val="Heading1"/>
      </w:pPr>
      <w:r>
        <w:t>2. Regional Policy Context</w:t>
      </w:r>
    </w:p>
    <w:p>
      <w:r>
        <w:t>The organization operates different reimbursement limits across regions. Regional limits should be applied according to the employee's country and the location of the business activity. When a regional policy conflicts with a corporate control, the stricter control applies unless Finance has approved an exception.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Meal Limit / Day</w:t>
            </w:r>
          </w:p>
        </w:tc>
        <w:tc>
          <w:tcPr>
            <w:tcW w:type="dxa" w:w="1728"/>
          </w:tcPr>
          <w:p>
            <w:r>
              <w:t>Hotel Limit / Night</w:t>
            </w:r>
          </w:p>
        </w:tc>
        <w:tc>
          <w:tcPr>
            <w:tcW w:type="dxa" w:w="1728"/>
          </w:tcPr>
          <w:p>
            <w:r>
              <w:t>Receipt Threshold</w:t>
            </w:r>
          </w:p>
        </w:tc>
        <w:tc>
          <w:tcPr>
            <w:tcW w:type="dxa" w:w="1728"/>
          </w:tcPr>
          <w:p>
            <w:r>
              <w:t>Policy Year</w:t>
            </w:r>
          </w:p>
        </w:tc>
      </w:tr>
      <w:tr>
        <w:tc>
          <w:tcPr>
            <w:tcW w:type="dxa" w:w="1728"/>
          </w:tcPr>
          <w:p>
            <w:r>
              <w:t>India</w:t>
            </w:r>
          </w:p>
        </w:tc>
        <w:tc>
          <w:tcPr>
            <w:tcW w:type="dxa" w:w="1728"/>
          </w:tcPr>
          <w:p>
            <w:r>
              <w:t>INR 2,500</w:t>
            </w:r>
          </w:p>
        </w:tc>
        <w:tc>
          <w:tcPr>
            <w:tcW w:type="dxa" w:w="1728"/>
          </w:tcPr>
          <w:p>
            <w:r>
              <w:t>INR 8,000</w:t>
            </w:r>
          </w:p>
        </w:tc>
        <w:tc>
          <w:tcPr>
            <w:tcW w:type="dxa" w:w="1728"/>
          </w:tcPr>
          <w:p>
            <w:r>
              <w:t>INR 1,000</w:t>
            </w:r>
          </w:p>
        </w:tc>
        <w:tc>
          <w:tcPr>
            <w:tcW w:type="dxa" w:w="1728"/>
          </w:tcPr>
          <w:p>
            <w:r>
              <w:t>2025</w:t>
            </w:r>
          </w:p>
        </w:tc>
      </w:tr>
      <w:tr>
        <w:tc>
          <w:tcPr>
            <w:tcW w:type="dxa" w:w="1728"/>
          </w:tcPr>
          <w:p>
            <w:r>
              <w:t>USA</w:t>
            </w:r>
          </w:p>
        </w:tc>
        <w:tc>
          <w:tcPr>
            <w:tcW w:type="dxa" w:w="1728"/>
          </w:tcPr>
          <w:p>
            <w:r>
              <w:t>USD 75</w:t>
            </w:r>
          </w:p>
        </w:tc>
        <w:tc>
          <w:tcPr>
            <w:tcW w:type="dxa" w:w="1728"/>
          </w:tcPr>
          <w:p>
            <w:r>
              <w:t>USD 220</w:t>
            </w:r>
          </w:p>
        </w:tc>
        <w:tc>
          <w:tcPr>
            <w:tcW w:type="dxa" w:w="1728"/>
          </w:tcPr>
          <w:p>
            <w:r>
              <w:t>USD 25</w:t>
            </w:r>
          </w:p>
        </w:tc>
        <w:tc>
          <w:tcPr>
            <w:tcW w:type="dxa" w:w="1728"/>
          </w:tcPr>
          <w:p>
            <w:r>
              <w:t>2025</w:t>
            </w:r>
          </w:p>
        </w:tc>
      </w:tr>
      <w:tr>
        <w:tc>
          <w:tcPr>
            <w:tcW w:type="dxa" w:w="1728"/>
          </w:tcPr>
          <w:p>
            <w:r>
              <w:t>UK</w:t>
            </w:r>
          </w:p>
        </w:tc>
        <w:tc>
          <w:tcPr>
            <w:tcW w:type="dxa" w:w="1728"/>
          </w:tcPr>
          <w:p>
            <w:r>
              <w:t>GBP 60</w:t>
            </w:r>
          </w:p>
        </w:tc>
        <w:tc>
          <w:tcPr>
            <w:tcW w:type="dxa" w:w="1728"/>
          </w:tcPr>
          <w:p>
            <w:r>
              <w:t>GBP 180</w:t>
            </w:r>
          </w:p>
        </w:tc>
        <w:tc>
          <w:tcPr>
            <w:tcW w:type="dxa" w:w="1728"/>
          </w:tcPr>
          <w:p>
            <w:r>
              <w:t>GBP 20</w:t>
            </w:r>
          </w:p>
        </w:tc>
        <w:tc>
          <w:tcPr>
            <w:tcW w:type="dxa" w:w="1728"/>
          </w:tcPr>
          <w:p>
            <w:r>
              <w:t>2025</w:t>
            </w:r>
          </w:p>
        </w:tc>
      </w:tr>
      <w:tr>
        <w:tc>
          <w:tcPr>
            <w:tcW w:type="dxa" w:w="1728"/>
          </w:tcPr>
          <w:p>
            <w:r>
              <w:t>Singapore</w:t>
            </w:r>
          </w:p>
        </w:tc>
        <w:tc>
          <w:tcPr>
            <w:tcW w:type="dxa" w:w="1728"/>
          </w:tcPr>
          <w:p>
            <w:r>
              <w:t>SGD 100</w:t>
            </w:r>
          </w:p>
        </w:tc>
        <w:tc>
          <w:tcPr>
            <w:tcW w:type="dxa" w:w="1728"/>
          </w:tcPr>
          <w:p>
            <w:r>
              <w:t>SGD 280</w:t>
            </w:r>
          </w:p>
        </w:tc>
        <w:tc>
          <w:tcPr>
            <w:tcW w:type="dxa" w:w="1728"/>
          </w:tcPr>
          <w:p>
            <w:r>
              <w:t>SGD 20</w:t>
            </w:r>
          </w:p>
        </w:tc>
        <w:tc>
          <w:tcPr>
            <w:tcW w:type="dxa" w:w="1728"/>
          </w:tcPr>
          <w:p>
            <w:r>
              <w:t>2025</w:t>
            </w:r>
          </w:p>
        </w:tc>
      </w:tr>
      <w:tr>
        <w:tc>
          <w:tcPr>
            <w:tcW w:type="dxa" w:w="1728"/>
          </w:tcPr>
          <w:p>
            <w:r>
              <w:t>Canada</w:t>
            </w:r>
          </w:p>
        </w:tc>
        <w:tc>
          <w:tcPr>
            <w:tcW w:type="dxa" w:w="1728"/>
          </w:tcPr>
          <w:p>
            <w:r>
              <w:t>CAD 95</w:t>
            </w:r>
          </w:p>
        </w:tc>
        <w:tc>
          <w:tcPr>
            <w:tcW w:type="dxa" w:w="1728"/>
          </w:tcPr>
          <w:p>
            <w:r>
              <w:t>CAD 240</w:t>
            </w:r>
          </w:p>
        </w:tc>
        <w:tc>
          <w:tcPr>
            <w:tcW w:type="dxa" w:w="1728"/>
          </w:tcPr>
          <w:p>
            <w:r>
              <w:t>CAD 25</w:t>
            </w:r>
          </w:p>
        </w:tc>
        <w:tc>
          <w:tcPr>
            <w:tcW w:type="dxa" w:w="1728"/>
          </w:tcPr>
          <w:p>
            <w:r>
              <w:t>2025</w:t>
            </w:r>
          </w:p>
        </w:tc>
      </w:tr>
    </w:tbl>
    <w:p>
      <w:r>
        <w:t>Table interpretation example: an employee traveling in India in 2025 has a standard hotel limit of INR 8,000 per night. A receipt is required for an individual expense of INR 1,000 or more.</w:t>
      </w:r>
    </w:p>
    <w:p>
      <w:pPr>
        <w:pStyle w:val="Heading1"/>
      </w:pPr>
      <w:r>
        <w:t>3. Approval Matrix</w:t>
      </w:r>
    </w:p>
    <w:p>
      <w:r>
        <w:t>Approval depends on the total value of the expense or purchase. The approval chain is cumulative where indicated; receiving one approval does not remove a required downstream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Expense Amount</w:t>
            </w:r>
          </w:p>
        </w:tc>
        <w:tc>
          <w:tcPr>
            <w:tcW w:type="dxa" w:w="2160"/>
          </w:tcPr>
          <w:p>
            <w:r>
              <w:t>Manager</w:t>
            </w:r>
          </w:p>
        </w:tc>
        <w:tc>
          <w:tcPr>
            <w:tcW w:type="dxa" w:w="2160"/>
          </w:tcPr>
          <w:p>
            <w:r>
              <w:t>Finance</w:t>
            </w:r>
          </w:p>
        </w:tc>
        <w:tc>
          <w:tcPr>
            <w:tcW w:type="dxa" w:w="2160"/>
          </w:tcPr>
          <w:p>
            <w:r>
              <w:t>Business Leadership</w:t>
            </w:r>
          </w:p>
        </w:tc>
      </w:tr>
      <w:tr>
        <w:tc>
          <w:tcPr>
            <w:tcW w:type="dxa" w:w="2160"/>
          </w:tcPr>
          <w:p>
            <w:r>
              <w:t>Up to INR 10,000</w:t>
            </w:r>
          </w:p>
        </w:tc>
        <w:tc>
          <w:tcPr>
            <w:tcW w:type="dxa" w:w="2160"/>
          </w:tcPr>
          <w:p>
            <w:r>
              <w:t>Required</w:t>
            </w:r>
          </w:p>
        </w:tc>
        <w:tc>
          <w:tcPr>
            <w:tcW w:type="dxa" w:w="2160"/>
          </w:tcPr>
          <w:p>
            <w:r>
              <w:t>Not required</w:t>
            </w:r>
          </w:p>
        </w:tc>
        <w:tc>
          <w:tcPr>
            <w:tcW w:type="dxa" w:w="2160"/>
          </w:tcPr>
          <w:p>
            <w:r>
              <w:t>Not required</w:t>
            </w:r>
          </w:p>
        </w:tc>
      </w:tr>
      <w:tr>
        <w:tc>
          <w:tcPr>
            <w:tcW w:type="dxa" w:w="2160"/>
          </w:tcPr>
          <w:p>
            <w:r>
              <w:t>INR 10,001–50,000</w:t>
            </w:r>
          </w:p>
        </w:tc>
        <w:tc>
          <w:tcPr>
            <w:tcW w:type="dxa" w:w="2160"/>
          </w:tcPr>
          <w:p>
            <w:r>
              <w:t>Required</w:t>
            </w:r>
          </w:p>
        </w:tc>
        <w:tc>
          <w:tcPr>
            <w:tcW w:type="dxa" w:w="2160"/>
          </w:tcPr>
          <w:p>
            <w:r>
              <w:t>Required</w:t>
            </w:r>
          </w:p>
        </w:tc>
        <w:tc>
          <w:tcPr>
            <w:tcW w:type="dxa" w:w="2160"/>
          </w:tcPr>
          <w:p>
            <w:r>
              <w:t>Not required</w:t>
            </w:r>
          </w:p>
        </w:tc>
      </w:tr>
      <w:tr>
        <w:tc>
          <w:tcPr>
            <w:tcW w:type="dxa" w:w="2160"/>
          </w:tcPr>
          <w:p>
            <w:r>
              <w:t>INR 50,001–200,000</w:t>
            </w:r>
          </w:p>
        </w:tc>
        <w:tc>
          <w:tcPr>
            <w:tcW w:type="dxa" w:w="2160"/>
          </w:tcPr>
          <w:p>
            <w:r>
              <w:t>Required</w:t>
            </w:r>
          </w:p>
        </w:tc>
        <w:tc>
          <w:tcPr>
            <w:tcW w:type="dxa" w:w="2160"/>
          </w:tcPr>
          <w:p>
            <w:r>
              <w:t>Required</w:t>
            </w:r>
          </w:p>
        </w:tc>
        <w:tc>
          <w:tcPr>
            <w:tcW w:type="dxa" w:w="2160"/>
          </w:tcPr>
          <w:p>
            <w:r>
              <w:t>Required</w:t>
            </w:r>
          </w:p>
        </w:tc>
      </w:tr>
      <w:tr>
        <w:tc>
          <w:tcPr>
            <w:tcW w:type="dxa" w:w="2160"/>
          </w:tcPr>
          <w:p>
            <w:r>
              <w:t>Above INR 200,000</w:t>
            </w:r>
          </w:p>
        </w:tc>
        <w:tc>
          <w:tcPr>
            <w:tcW w:type="dxa" w:w="2160"/>
          </w:tcPr>
          <w:p>
            <w:r>
              <w:t>Required</w:t>
            </w:r>
          </w:p>
        </w:tc>
        <w:tc>
          <w:tcPr>
            <w:tcW w:type="dxa" w:w="2160"/>
          </w:tcPr>
          <w:p>
            <w:r>
              <w:t>Required</w:t>
            </w:r>
          </w:p>
        </w:tc>
        <w:tc>
          <w:tcPr>
            <w:tcW w:type="dxa" w:w="2160"/>
          </w:tcPr>
          <w:p>
            <w:r>
              <w:t>Required + Procurement</w:t>
            </w:r>
          </w:p>
        </w:tc>
      </w:tr>
    </w:tbl>
    <w:p>
      <w:pPr>
        <w:pStyle w:val="Heading1"/>
      </w:pPr>
      <w:r>
        <w:t>4. Required Supporting Information</w:t>
      </w:r>
    </w:p>
    <w:p>
      <w:r>
        <w:t>Every expense submission should contain the following information:</w:t>
      </w:r>
    </w:p>
    <w:p>
      <w:pPr>
        <w:pStyle w:val="ListBullet"/>
      </w:pPr>
      <w:r>
        <w:t>Business purpose and customer or project context where applicable.</w:t>
      </w:r>
    </w:p>
    <w:p>
      <w:pPr>
        <w:pStyle w:val="ListBullet"/>
      </w:pPr>
      <w:r>
        <w:t>Transaction date and transaction currency.</w:t>
      </w:r>
    </w:p>
    <w:p>
      <w:pPr>
        <w:pStyle w:val="ListBullet"/>
      </w:pPr>
      <w:r>
        <w:t>Cost center or project code.</w:t>
      </w:r>
    </w:p>
    <w:p>
      <w:pPr>
        <w:pStyle w:val="ListBullet"/>
      </w:pPr>
      <w:r>
        <w:t>Appropriate receipt or supporting evidence.</w:t>
      </w:r>
    </w:p>
    <w:p>
      <w:pPr>
        <w:pStyle w:val="ListBullet"/>
      </w:pPr>
      <w:r>
        <w:t>Required approval before reimbursement.</w:t>
      </w:r>
    </w:p>
    <w:p>
      <w:pPr>
        <w:pStyle w:val="Heading1"/>
      </w:pPr>
      <w:r>
        <w:t>5. Special Cases</w:t>
      </w:r>
    </w:p>
    <w:p>
      <w:r>
        <w:t>Lost receipts require a written explanation and manager approval. Repeated missing receipts may trigger additional Finance review. International transactions must retain the original transaction currency; the corporate expense platform should be used for approved currency conversion when available.</w:t>
      </w:r>
    </w:p>
    <w:p>
      <w:r>
        <w:t>Client entertainment must identify the business purpose and participating organizations. Personal expenses, traffic fines, normal commuting, and unauthorized upgrades are not reimbursable.</w:t>
      </w:r>
    </w:p>
    <w:p>
      <w:pPr>
        <w:pStyle w:val="Heading1"/>
      </w:pPr>
      <w:r>
        <w:t>6. Process Steps</w:t>
      </w:r>
    </w:p>
    <w:p>
      <w:pPr>
        <w:pStyle w:val="ListNumber"/>
      </w:pPr>
      <w:r>
        <w:t>Obtain pre-trip approval when practical.</w:t>
      </w:r>
    </w:p>
    <w:p>
      <w:pPr>
        <w:pStyle w:val="ListNumber"/>
      </w:pPr>
      <w:r>
        <w:t>Book travel using the approved corporate channel.</w:t>
      </w:r>
    </w:p>
    <w:p>
      <w:pPr>
        <w:pStyle w:val="ListNumber"/>
      </w:pPr>
      <w:r>
        <w:t>Keep receipts and record the business purpose during the trip.</w:t>
      </w:r>
    </w:p>
    <w:p>
      <w:pPr>
        <w:pStyle w:val="ListNumber"/>
      </w:pPr>
      <w:r>
        <w:t>Submit the expense claim within 15 calendar days.</w:t>
      </w:r>
    </w:p>
    <w:p>
      <w:pPr>
        <w:pStyle w:val="ListNumber"/>
      </w:pPr>
      <w:r>
        <w:t>Obtain all required approvals.</w:t>
      </w:r>
    </w:p>
    <w:p>
      <w:pPr>
        <w:pStyle w:val="ListNumber"/>
      </w:pPr>
      <w:r>
        <w:t>Finance reviews the claim and processes reimbursement.</w:t>
      </w:r>
    </w:p>
    <w:p>
      <w:pPr>
        <w:pStyle w:val="Heading1"/>
      </w:pPr>
      <w:r>
        <w:t>7. Examples for Retrieval Testing</w:t>
      </w:r>
    </w:p>
    <w:p>
      <w:r>
        <w:t>Example A: An employee in India submits a INR 25,000 business expense. The expense requires manager approval and Finance review.</w:t>
      </w:r>
    </w:p>
    <w:p>
      <w:r>
        <w:t>Example B: An employee in Singapore submits a SGD 80 meal expense. The regional meal limit is SGD 100 per day, and the receipt threshold is SGD 20.</w:t>
      </w:r>
    </w:p>
    <w:p>
      <w:r>
        <w:t>Example C: An employee submits a INR 250,000 purchase. Manager approval, Finance approval, business leadership approval, and Procurement involvement are required.</w:t>
      </w:r>
    </w:p>
    <w:p>
      <w:pPr>
        <w:pStyle w:val="Heading1"/>
      </w:pPr>
      <w:r>
        <w:t>8. Metadata Hints</w:t>
      </w:r>
    </w:p>
    <w:p>
      <w:r>
        <w:t>This document intentionally does not rely on a separate metadata file. A production ingestion pipeline could infer or enrich metadata such as department, country coverage, policy year, document type, document title, source file, version, and access classification from the document, its location, or the source system.</w:t>
      </w:r>
    </w:p>
    <w:p>
      <w:pPr>
        <w:pStyle w:val="Heading1"/>
      </w:pPr>
      <w:r>
        <w:t>9. Evaluation Questions</w:t>
      </w:r>
    </w:p>
    <w:p>
      <w:pPr>
        <w:pStyle w:val="ListBullet"/>
      </w:pPr>
      <w:r>
        <w:t>What is the hotel limit per night for employees traveling in India in 2025?</w:t>
      </w:r>
    </w:p>
    <w:p>
      <w:pPr>
        <w:pStyle w:val="ListBullet"/>
      </w:pPr>
      <w:r>
        <w:t>What is the receipt threshold for Singapore?</w:t>
      </w:r>
    </w:p>
    <w:p>
      <w:pPr>
        <w:pStyle w:val="ListBullet"/>
      </w:pPr>
      <w:r>
        <w:t>What approvals are required for an INR 75,000 expense?</w:t>
      </w:r>
    </w:p>
    <w:p>
      <w:pPr>
        <w:pStyle w:val="ListBullet"/>
      </w:pPr>
      <w:r>
        <w:t>Does a INR 250,000 purchase require Procurement involvement?</w:t>
      </w:r>
    </w:p>
    <w:p>
      <w:pPr>
        <w:pStyle w:val="ListBullet"/>
      </w:pPr>
      <w:r>
        <w:t>How many calendar days does an employee have to submit an expense claim?</w:t>
      </w:r>
    </w:p>
    <w:p>
      <w:pPr>
        <w:pStyle w:val="ListBullet"/>
      </w:pPr>
      <w:r>
        <w:t>What information is required in an expense submission?</w:t>
      </w:r>
    </w:p>
    <w:p>
      <w:pPr>
        <w:pStyle w:val="ListBullet"/>
      </w:pPr>
      <w:r>
        <w:t>What happens when an employee loses a receipt?</w:t>
      </w:r>
    </w:p>
    <w:p>
      <w:pPr>
        <w:pStyle w:val="ListBullet"/>
      </w:pPr>
      <w:r>
        <w:t>What is the meal limit for employees traveling in the 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