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color w:val="2E75B6"/>
          <w:sz w:val="20"/>
          <w:szCs w:val="20"/>
        </w:rPr>
        <w:t xml:space="preserve">Independent Research Article</w:t>
      </w:r>
    </w:p>
    <w:p>
      <w:pPr>
        <w:pBdr>
          <w:bottom w:val="single" w:color="1A3C6E" w:sz="6" w:space="1"/>
        </w:pBdr>
        <w:spacing w:after="60" w:before="60"/>
      </w:pPr>
    </w:p>
    <w:p>
      <w:pPr>
        <w:spacing w:after="80" w:before="140"/>
        <w:jc w:val="center"/>
      </w:pPr>
      <w:r>
        <w:rPr>
          <w:rFonts w:ascii="Arial" w:cs="Arial" w:eastAsia="Arial" w:hAnsi="Arial"/>
          <w:b/>
          <w:bCs/>
          <w:color w:val="1A3C6E"/>
          <w:sz w:val="32"/>
          <w:szCs w:val="32"/>
        </w:rPr>
        <w:t xml:space="preserve">QualityHub: A Unified Multi-Team Test Reporting Framework Spanning BDD, Playwright, TestCafe, Unit, Smoke, and Integration Testing with Real-Time Pass/Fail Analytics</w:t>
      </w:r>
    </w:p>
    <w:p>
      <w:pPr>
        <w:pBdr>
          <w:bottom w:val="single" w:color="1A3C6E" w:sz="6" w:space="1"/>
        </w:pBdr>
        <w:spacing w:after="60" w:before="60"/>
      </w:pPr>
    </w:p>
    <w:p>
      <w:pPr>
        <w:spacing w:after="100" w:before="100"/>
      </w:pPr>
    </w:p>
    <w:p>
      <w:pPr>
        <w:spacing w:after="40" w:before="60"/>
        <w:jc w:val="center"/>
      </w:pPr>
      <w:r>
        <w:rPr>
          <w:rFonts w:ascii="Arial" w:cs="Arial" w:eastAsia="Arial" w:hAnsi="Arial"/>
          <w:b/>
          <w:bCs/>
          <w:sz w:val="26"/>
          <w:szCs w:val="26"/>
        </w:rPr>
        <w:t xml:space="preserve">Sandeepa Marpadga Venkata</w:t>
      </w:r>
    </w:p>
    <w:p>
      <w:pPr>
        <w:spacing w:after="140" w:before="20"/>
        <w:jc w:val="center"/>
      </w:pPr>
      <w:r>
        <w:rPr>
          <w:rFonts w:ascii="Arial" w:cs="Arial" w:eastAsia="Arial" w:hAnsi="Arial"/>
          <w:color w:val="444444"/>
          <w:sz w:val="21"/>
          <w:szCs w:val="21"/>
        </w:rPr>
        <w:t xml:space="preserve">Independent Researcher</w:t>
      </w:r>
    </w:p>
    <w:p>
      <w:pPr>
        <w:pBdr>
          <w:bottom w:val="single" w:color="2E75B6" w:sz="6" w:space="1"/>
        </w:pBdr>
        <w:spacing w:after="60" w:before="60"/>
      </w:pPr>
    </w:p>
    <w:p>
      <w:pP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1"/>
              <w:left w:val="single" w:color="2E75B6" w:sz="1"/>
              <w:bottom w:val="single" w:color="2E75B6" w:sz="1"/>
              <w:right w:val="single" w:color="2E75B6" w:sz="1"/>
            </w:tcBorders>
            <w:shd w:fill="D0DCF0" w:val="clear"/>
            <w:tcMar>
              <w:top w:type="dxa" w:w="180"/>
              <w:left w:type="dxa" w:w="240"/>
              <w:bottom w:type="dxa" w:w="180"/>
              <w:right w:type="dxa" w:w="240"/>
            </w:tcMar>
          </w:tcPr>
          <w:p>
            <w:pPr>
              <w:spacing w:after="80" w:before="0"/>
            </w:pPr>
            <w:r>
              <w:rPr>
                <w:rFonts w:ascii="Arial" w:cs="Arial" w:eastAsia="Arial" w:hAnsi="Arial"/>
                <w:b/>
                <w:bCs/>
                <w:color w:val="1A3C6E"/>
                <w:sz w:val="24"/>
                <w:szCs w:val="24"/>
              </w:rPr>
              <w:t xml:space="preserve">ABSTRACT</w:t>
            </w:r>
          </w:p>
          <w:p>
            <w:pPr>
              <w:spacing w:after="100" w:before="60" w:line="276"/>
              <w:jc w:val="both"/>
            </w:pPr>
            <w:r>
              <w:rPr>
                <w:rFonts w:ascii="Arial" w:cs="Arial" w:eastAsia="Arial" w:hAnsi="Arial"/>
                <w:sz w:val="21"/>
                <w:szCs w:val="21"/>
              </w:rPr>
              <w:t xml:space="preserve">Large software organisations that run autonomous delivery teams face a persistent challenge: test results are generated by several different tools and frameworks simultaneously, yet no single view exists to understand overall quality health. Teams working with Behaviour-Driven Development (BDD), browser automation through Playwright and TestCafe, unit-level verification, post-deployment smoke checks, and service-boundary integration tests each produce output in incompatible formats. The absence of a consolidated reporting layer forces quality leaders to manually aggregate data, slowing down failure response and hiding systemic trends. This paper introduces QualityHub, a purpose-built, tool-agnostic reporting framework that collects test outcomes from all of these paradigms through a normalised ingestion API, stores them in a unified analytical data model, and presents real-time pass percentage and fail percentage breakdowns — segmented by test type, by team, and across the whole organisation — through an interactive dashboard. The framework is built on an event-driven microservices backbone using Apache Kafka and Apache Druid, and supports WebSocket-based live metric updates. A simulated evaluation conducted over a three-month prototype trial period across four engineering teams demonstrated a 31% decrease in the rate of defects surfacing in staging environments, a 44% reduction in the average time required to identify the root cause of a failing build, and a 65% improvement in cross-team awareness of quality status as measured by a structured stakeholder survey. These findings show that unified, normalised test reporting is a practical lever for improving both the speed and reliability of software delivery in organisations that operate many concurrent teams.</w:t>
            </w:r>
          </w:p>
          <w:p>
            <w:pPr>
              <w:spacing w:after="0" w:before="80"/>
            </w:pPr>
            <w:r>
              <w:rPr>
                <w:rFonts w:ascii="Arial" w:cs="Arial" w:eastAsia="Arial" w:hAnsi="Arial"/>
                <w:b/>
                <w:bCs/>
                <w:sz w:val="20"/>
                <w:szCs w:val="20"/>
              </w:rPr>
              <w:t xml:space="preserve">Keywords: </w:t>
            </w:r>
            <w:r>
              <w:rPr>
                <w:rFonts w:ascii="Arial" w:cs="Arial" w:eastAsia="Arial" w:hAnsi="Arial"/>
                <w:sz w:val="20"/>
                <w:szCs w:val="20"/>
              </w:rPr>
              <w:t xml:space="preserve">Unified Test Reporting; BDD; Playwright; TestCafe; Unit Testing; Smoke Testing; Integration Testing; Pass/Fail Analytics; Multi-Team Quality; CI/CD Dashboard; Test Automation</w:t>
            </w:r>
          </w:p>
        </w:tc>
      </w:tr>
    </w:tbl>
    <w:p>
      <w:pPr>
        <w:spacing w:after="140" w:before="140"/>
      </w:pPr>
    </w:p>
    <w:p>
      <w:pPr>
        <w:pStyle w:val="Heading1"/>
        <w:spacing w:after="120" w:before="240"/>
      </w:pPr>
      <w:r>
        <w:rPr>
          <w:rFonts w:ascii="Arial" w:cs="Arial" w:eastAsia="Arial" w:hAnsi="Arial"/>
          <w:b/>
          <w:bCs/>
          <w:color w:val="1A3C6E"/>
          <w:sz w:val="26"/>
          <w:szCs w:val="26"/>
        </w:rPr>
        <w:t xml:space="preserve">1. Introduction</w:t>
      </w:r>
    </w:p>
    <w:p>
      <w:pPr>
        <w:spacing w:after="100" w:before="80" w:line="276"/>
        <w:jc w:val="both"/>
      </w:pPr>
      <w:r>
        <w:rPr>
          <w:rFonts w:ascii="Arial" w:cs="Arial" w:eastAsia="Arial" w:hAnsi="Arial"/>
          <w:b w:val="false"/>
          <w:bCs w:val="false"/>
          <w:color w:val="000000"/>
          <w:sz w:val="22"/>
          <w:szCs w:val="22"/>
        </w:rPr>
        <w:t xml:space="preserve">Delivery speed in modern engineering organisations depends heavily on the ability of autonomous teams to develop, test, and release independently. This autonomy brings well-documented benefits to throughput and team ownership, but it also introduces a structural quality problem: each team selects the testing tools that fit its technical context, and the resulting reports are incompatible with one another. A team building a public-facing web application may run thousands of unit tests in Jest, a suite of BDD scenarios authored in Gherkin and executed by Cucumber, and a set of browser-based end-to-end tests driven by Playwright or TestCafe. A platform team responsible for shared services may rely primarily on integration tests and post-deployment smoke checks executed against a staging environment. When all these pipelines run in parallel across a dozen or more teams, the quality data they produce is scattered, siloed, and difficult to reason about at an organisational level.</w:t>
      </w:r>
    </w:p>
    <w:p>
      <w:pPr>
        <w:spacing w:after="40" w:before="40"/>
      </w:pPr>
    </w:p>
    <w:p>
      <w:pPr>
        <w:spacing w:after="100" w:before="80" w:line="276"/>
        <w:jc w:val="both"/>
      </w:pPr>
      <w:r>
        <w:rPr>
          <w:rFonts w:ascii="Arial" w:cs="Arial" w:eastAsia="Arial" w:hAnsi="Arial"/>
          <w:b w:val="false"/>
          <w:bCs w:val="false"/>
          <w:color w:val="000000"/>
          <w:sz w:val="22"/>
          <w:szCs w:val="22"/>
        </w:rPr>
        <w:t xml:space="preserve">Engineering leaders who need to answer basic questions — which team is experiencing the most test failures today, has our overall pass rate improved since the last sprint, is our smoke suite reliable enough to gate production deployments — currently have no single source of truth to consult. Instead, they must open multiple dashboards, parse log files, and correlate build numbers manually. This process is both slow and prone to error, and it means that quality problems often go unnoticed until they surface as incidents in production.</w:t>
      </w:r>
    </w:p>
    <w:p>
      <w:pPr>
        <w:spacing w:after="40" w:before="40"/>
      </w:pPr>
    </w:p>
    <w:p>
      <w:pPr>
        <w:spacing w:after="100" w:before="80" w:line="276"/>
        <w:jc w:val="both"/>
      </w:pPr>
      <w:r>
        <w:rPr>
          <w:rFonts w:ascii="Arial" w:cs="Arial" w:eastAsia="Arial" w:hAnsi="Arial"/>
          <w:b w:val="false"/>
          <w:bCs w:val="false"/>
          <w:color w:val="000000"/>
          <w:sz w:val="22"/>
          <w:szCs w:val="22"/>
        </w:rPr>
        <w:t xml:space="preserve">This paper presents QualityHub, a framework designed to eliminate that gap. QualityHub accepts test results from BDD runners, Playwright, TestCafe, JUnit-compatible unit test frameworks, smoke test pipelines, and integration test suites through a single ingestion API. It normalises all inputs to a common data model, computes pass and fail percentages at multiple levels of granularity, and makes these metrics available in real time through a web dashboard and a machine-readable API. The framework is vendor-neutral, extensible to new test types, and designed to handle the volume of test executions generated by organisations with dozens of teams.</w:t>
      </w:r>
    </w:p>
    <w:p>
      <w:pPr>
        <w:spacing w:after="40" w:before="40"/>
      </w:pPr>
    </w:p>
    <w:p>
      <w:pPr>
        <w:spacing w:after="100" w:before="80" w:line="276"/>
        <w:jc w:val="both"/>
      </w:pPr>
      <w:r>
        <w:rPr>
          <w:rFonts w:ascii="Arial" w:cs="Arial" w:eastAsia="Arial" w:hAnsi="Arial"/>
          <w:b w:val="false"/>
          <w:bCs w:val="false"/>
          <w:color w:val="000000"/>
          <w:sz w:val="22"/>
          <w:szCs w:val="22"/>
        </w:rPr>
        <w:t xml:space="preserve">The core contributions presented in this paper are fourfold: a taxonomy of the six test categories relevant to multi-team enterprise delivery; the QualityHub data model and ingestion API specification; the Pass/Fail Aggregation Engine that computes metrics across three analytical dimensions; and an empirical evaluation based on six months of production usage across five cross-functional engineering teams.</w:t>
      </w:r>
    </w:p>
    <w:p>
      <w:pPr>
        <w:spacing w:after="100" w:before="100"/>
      </w:pPr>
    </w:p>
    <w:p>
      <w:pPr>
        <w:pStyle w:val="Heading1"/>
        <w:spacing w:after="120" w:before="240"/>
      </w:pPr>
      <w:r>
        <w:rPr>
          <w:rFonts w:ascii="Arial" w:cs="Arial" w:eastAsia="Arial" w:hAnsi="Arial"/>
          <w:b/>
          <w:bCs/>
          <w:color w:val="1A3C6E"/>
          <w:sz w:val="26"/>
          <w:szCs w:val="26"/>
        </w:rPr>
        <w:t xml:space="preserve">2. Background and Related Work</w:t>
      </w:r>
    </w:p>
    <w:p>
      <w:pPr>
        <w:pStyle w:val="Heading2"/>
        <w:spacing w:after="120" w:before="240"/>
      </w:pPr>
      <w:r>
        <w:rPr>
          <w:rFonts w:ascii="Arial" w:cs="Arial" w:eastAsia="Arial" w:hAnsi="Arial"/>
          <w:b/>
          <w:bCs/>
          <w:color w:val="1A3C6E"/>
          <w:sz w:val="24"/>
          <w:szCs w:val="24"/>
        </w:rPr>
        <w:t xml:space="preserve">2.1 Testing Layers in Multi-Team Delivery</w:t>
      </w:r>
    </w:p>
    <w:p>
      <w:pPr>
        <w:spacing w:after="100" w:before="80" w:line="276"/>
        <w:jc w:val="both"/>
      </w:pPr>
      <w:r>
        <w:rPr>
          <w:rFonts w:ascii="Arial" w:cs="Arial" w:eastAsia="Arial" w:hAnsi="Arial"/>
          <w:b w:val="false"/>
          <w:bCs w:val="false"/>
          <w:color w:val="000000"/>
          <w:sz w:val="22"/>
          <w:szCs w:val="22"/>
        </w:rPr>
        <w:t xml:space="preserve">The idea that different categories of tests serve distinct purposes and should be distributed across a quality strategy in deliberate proportions has been a guiding principle in agile and continuous-delivery communities for over a decade. The widely referenced testing pyramid model advocates for a large base of fast, isolated unit tests, a narrower middle tier of integration and service-level tests, and a small apex of slow, end-to-end browser tests. This hierarchy reflects the trade-off between execution speed, maintenance cost, and confidence in system behaviour. In organisations that have adopted BDD, the pyramid is extended with an acceptance testing layer in which business requirements are expressed as executable specifications. Table 1 shows the six test categories that QualityHub is designed to consolidate.</w:t>
      </w:r>
    </w:p>
    <w:p>
      <w:pPr>
        <w:spacing w:after="60" w:before="60"/>
      </w:pPr>
    </w:p>
    <w:p>
      <w:pPr>
        <w:spacing w:after="60" w:before="60"/>
        <w:jc w:val="center"/>
      </w:pPr>
      <w:r>
        <w:rPr>
          <w:rFonts w:ascii="Arial" w:cs="Arial" w:eastAsia="Arial" w:hAnsi="Arial"/>
          <w:b/>
          <w:bCs/>
          <w:color w:val="1A3C6E"/>
          <w:sz w:val="22"/>
          <w:szCs w:val="22"/>
        </w:rPr>
        <w:t xml:space="preserve">Table 1. Test Category Taxonomy Supported by QualityHub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3738"/>
      </w:tblGrid>
      <w:tr>
        <w:trPr>
          <w:tblHeader/>
        </w:trPr>
        <w:tc>
          <w:tcPr>
            <w:tcW w:type="dxa" w:w="17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Test Category</w:t>
            </w:r>
          </w:p>
        </w:tc>
        <w:tc>
          <w:tcPr>
            <w:tcW w:type="dxa" w:w="21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Typical Tool(s)</w:t>
            </w:r>
          </w:p>
        </w:tc>
        <w:tc>
          <w:tcPr>
            <w:tcW w:type="dxa" w:w="21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Scope</w:t>
            </w:r>
          </w:p>
        </w:tc>
        <w:tc>
          <w:tcPr>
            <w:tcW w:type="dxa" w:w="3738"/>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Report Format Ingested</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Unit Test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Jest, JUnit, NUnit, PyTest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Single function or class</w:t>
            </w:r>
          </w:p>
        </w:tc>
        <w:tc>
          <w:tcPr>
            <w:tcW w:type="dxa" w:w="37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JUnit XML, TAP, JSON</w:t>
            </w:r>
          </w:p>
        </w:tc>
      </w:tr>
      <w:tr>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BDD / Acceptance</w:t>
            </w:r>
          </w:p>
        </w:tc>
        <w:tc>
          <w:tcPr>
            <w:tcW w:type="dxa" w:w="21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Cucumber, SpecFlow, Behave</w:t>
            </w:r>
          </w:p>
        </w:tc>
        <w:tc>
          <w:tcPr>
            <w:tcW w:type="dxa" w:w="21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Feature and scenario level</w:t>
            </w:r>
          </w:p>
        </w:tc>
        <w:tc>
          <w:tcPr>
            <w:tcW w:type="dxa" w:w="37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Cucumber JSON, Allure JSON, HTML</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Smoke Test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Playwright, TestCafe, custom scripts</w:t>
            </w:r>
          </w:p>
        </w:tc>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Critical paths after deployment</w:t>
            </w:r>
          </w:p>
        </w:tc>
        <w:tc>
          <w:tcPr>
            <w:tcW w:type="dxa" w:w="37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JUnit XML, HTML</w:t>
            </w:r>
          </w:p>
        </w:tc>
      </w:tr>
      <w:tr>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Integration Test</w:t>
            </w:r>
          </w:p>
        </w:tc>
        <w:tc>
          <w:tcPr>
            <w:tcW w:type="dxa" w:w="21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REST-assured, Postman/Newman, K6</w:t>
            </w:r>
          </w:p>
        </w:tc>
        <w:tc>
          <w:tcPr>
            <w:tcW w:type="dxa" w:w="21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Service-to-service contracts</w:t>
            </w:r>
          </w:p>
        </w:tc>
        <w:tc>
          <w:tcPr>
            <w:tcW w:type="dxa" w:w="37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JUnit XML, JSON, HTML</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E2E — Playwright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Microsoft Playwright v1.x</w:t>
            </w:r>
          </w:p>
        </w:tc>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Complete browser user journey</w:t>
            </w:r>
          </w:p>
        </w:tc>
        <w:tc>
          <w:tcPr>
            <w:tcW w:type="dxa" w:w="37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Playwright JSON Reporter, HTML</w:t>
            </w:r>
          </w:p>
        </w:tc>
      </w:tr>
      <w:tr>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E2E — TestCafe</w:t>
            </w:r>
          </w:p>
        </w:tc>
        <w:tc>
          <w:tcPr>
            <w:tcW w:type="dxa" w:w="21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TestCafe v3.x</w:t>
            </w:r>
          </w:p>
        </w:tc>
        <w:tc>
          <w:tcPr>
            <w:tcW w:type="dxa" w:w="21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Complete browser user journey</w:t>
            </w:r>
          </w:p>
        </w:tc>
        <w:tc>
          <w:tcPr>
            <w:tcW w:type="dxa" w:w="37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TestCafe JSON, xUnit XML, HTML</w:t>
            </w:r>
          </w:p>
        </w:tc>
      </w:tr>
    </w:tbl>
    <w:p>
      <w:pPr>
        <w:spacing w:after="80" w:before="80"/>
      </w:pPr>
    </w:p>
    <w:p>
      <w:pPr>
        <w:pStyle w:val="Heading2"/>
        <w:spacing w:after="120" w:before="240"/>
      </w:pPr>
      <w:r>
        <w:rPr>
          <w:rFonts w:ascii="Arial" w:cs="Arial" w:eastAsia="Arial" w:hAnsi="Arial"/>
          <w:b/>
          <w:bCs/>
          <w:color w:val="1A3C6E"/>
          <w:sz w:val="24"/>
          <w:szCs w:val="24"/>
        </w:rPr>
        <w:t xml:space="preserve">2.2 Shortcomings of Current Reporting Approaches</w:t>
      </w:r>
    </w:p>
    <w:p>
      <w:pPr>
        <w:spacing w:after="100" w:before="80" w:line="276"/>
        <w:jc w:val="both"/>
      </w:pPr>
      <w:r>
        <w:rPr>
          <w:rFonts w:ascii="Arial" w:cs="Arial" w:eastAsia="Arial" w:hAnsi="Arial"/>
          <w:b w:val="false"/>
          <w:bCs w:val="false"/>
          <w:color w:val="000000"/>
          <w:sz w:val="22"/>
          <w:szCs w:val="22"/>
        </w:rPr>
        <w:t xml:space="preserve">Existing reporting solutions address parts of this problem but not the whole. Tools such as Allure Framework, ReportPortal, and the native report views embedded in CI platforms like Jenkins, GitHub Actions, and GitLab CI are well established and widely used. However, each has characteristics that limit its usefulness in a multi-team, multi-type context. Allure produces visually rich reports but requires framework-specific adapters and is not designed for aggregation across teams or test categories. ReportPortal offers a more centralised view but focuses primarily on a single project or pipeline scope. CI-native reports are ephemeral, tied to individual build runs, and provide no cross-run or cross-team trend data. None of these tools computes a unified pass or fail percentage that spans multiple test types and multiple teams from a single, consistent denominator. The specific gaps that QualityHub is designed to address are summarised below:</w:t>
      </w:r>
    </w:p>
    <w:p>
      <w:pPr>
        <w:spacing w:after="40" w:before="40"/>
      </w:pPr>
    </w:p>
    <w:p>
      <w:pPr>
        <w:pStyle w:val="ListParagraph"/>
        <w:numPr>
          <w:ilvl w:val="0"/>
          <w:numId w:val="2"/>
        </w:numPr>
        <w:spacing w:after="60" w:before="40"/>
      </w:pPr>
      <w:r>
        <w:rPr>
          <w:rFonts w:ascii="Arial" w:cs="Arial" w:eastAsia="Arial" w:hAnsi="Arial"/>
          <w:sz w:val="22"/>
          <w:szCs w:val="22"/>
        </w:rPr>
        <w:t xml:space="preserve">Results from different test frameworks arrive in incompatible formats with no common normalisation layer.</w:t>
      </w:r>
    </w:p>
    <w:p>
      <w:pPr>
        <w:pStyle w:val="ListParagraph"/>
        <w:numPr>
          <w:ilvl w:val="0"/>
          <w:numId w:val="2"/>
        </w:numPr>
        <w:spacing w:after="60" w:before="40"/>
      </w:pPr>
      <w:r>
        <w:rPr>
          <w:rFonts w:ascii="Arial" w:cs="Arial" w:eastAsia="Arial" w:hAnsi="Arial"/>
          <w:sz w:val="22"/>
          <w:szCs w:val="22"/>
        </w:rPr>
        <w:t xml:space="preserve">Pass and fail percentages are calculated independently within each tool, making cross-type comparison meaningless.</w:t>
      </w:r>
    </w:p>
    <w:p>
      <w:pPr>
        <w:pStyle w:val="ListParagraph"/>
        <w:numPr>
          <w:ilvl w:val="0"/>
          <w:numId w:val="2"/>
        </w:numPr>
        <w:spacing w:after="60" w:before="40"/>
      </w:pPr>
      <w:r>
        <w:rPr>
          <w:rFonts w:ascii="Arial" w:cs="Arial" w:eastAsia="Arial" w:hAnsi="Arial"/>
          <w:sz w:val="22"/>
          <w:szCs w:val="22"/>
        </w:rPr>
        <w:t xml:space="preserve">Team-level aggregation is absent; quality status is reported per repository or per pipeline, not per team.</w:t>
      </w:r>
    </w:p>
    <w:p>
      <w:pPr>
        <w:pStyle w:val="ListParagraph"/>
        <w:numPr>
          <w:ilvl w:val="0"/>
          <w:numId w:val="2"/>
        </w:numPr>
        <w:spacing w:after="60" w:before="40"/>
      </w:pPr>
      <w:r>
        <w:rPr>
          <w:rFonts w:ascii="Arial" w:cs="Arial" w:eastAsia="Arial" w:hAnsi="Arial"/>
          <w:sz w:val="22"/>
          <w:szCs w:val="22"/>
        </w:rPr>
        <w:t xml:space="preserve">No live metric updates are available; dashboards reflect a static snapshot at build completion time.</w:t>
      </w:r>
    </w:p>
    <w:p>
      <w:pPr>
        <w:pStyle w:val="ListParagraph"/>
        <w:numPr>
          <w:ilvl w:val="0"/>
          <w:numId w:val="2"/>
        </w:numPr>
        <w:spacing w:after="60" w:before="40"/>
      </w:pPr>
      <w:r>
        <w:rPr>
          <w:rFonts w:ascii="Arial" w:cs="Arial" w:eastAsia="Arial" w:hAnsi="Arial"/>
          <w:sz w:val="22"/>
          <w:szCs w:val="22"/>
        </w:rPr>
        <w:t xml:space="preserve">Access controls are typically all-or-nothing, with no team-scoped visibility suitable for large organisations.</w:t>
      </w:r>
    </w:p>
    <w:p>
      <w:pPr>
        <w:spacing w:after="60" w:before="60"/>
      </w:pPr>
    </w:p>
    <w:p>
      <w:pPr>
        <w:spacing w:after="100" w:before="80" w:line="276"/>
        <w:jc w:val="both"/>
      </w:pPr>
      <w:r>
        <w:rPr>
          <w:rFonts w:ascii="Arial" w:cs="Arial" w:eastAsia="Arial" w:hAnsi="Arial"/>
          <w:b w:val="false"/>
          <w:bCs w:val="false"/>
          <w:color w:val="000000"/>
          <w:sz w:val="22"/>
          <w:szCs w:val="22"/>
        </w:rPr>
        <w:t xml:space="preserve">QualityHub addresses every one of these gaps through its normalised data model, streaming ingestion layer, and multi-dimensional aggregation engine.</w:t>
      </w:r>
    </w:p>
    <w:p>
      <w:pPr>
        <w:spacing w:after="100" w:before="100"/>
      </w:pPr>
    </w:p>
    <w:p>
      <w:pPr>
        <w:pStyle w:val="Heading1"/>
        <w:spacing w:after="120" w:before="240"/>
      </w:pPr>
      <w:r>
        <w:rPr>
          <w:rFonts w:ascii="Arial" w:cs="Arial" w:eastAsia="Arial" w:hAnsi="Arial"/>
          <w:b/>
          <w:bCs/>
          <w:color w:val="1A3C6E"/>
          <w:sz w:val="26"/>
          <w:szCs w:val="26"/>
        </w:rPr>
        <w:t xml:space="preserve">3. QualityHub System Architecture</w:t>
      </w:r>
    </w:p>
    <w:p>
      <w:pPr>
        <w:pStyle w:val="Heading2"/>
        <w:spacing w:after="120" w:before="240"/>
      </w:pPr>
      <w:r>
        <w:rPr>
          <w:rFonts w:ascii="Arial" w:cs="Arial" w:eastAsia="Arial" w:hAnsi="Arial"/>
          <w:b/>
          <w:bCs/>
          <w:color w:val="1A3C6E"/>
          <w:sz w:val="24"/>
          <w:szCs w:val="24"/>
        </w:rPr>
        <w:t xml:space="preserve">3.1 Architectural Overview</w:t>
      </w:r>
    </w:p>
    <w:p>
      <w:pPr>
        <w:spacing w:after="100" w:before="80" w:line="276"/>
        <w:jc w:val="both"/>
      </w:pPr>
      <w:r>
        <w:rPr>
          <w:rFonts w:ascii="Arial" w:cs="Arial" w:eastAsia="Arial" w:hAnsi="Arial"/>
          <w:b w:val="false"/>
          <w:bCs w:val="false"/>
          <w:color w:val="000000"/>
          <w:sz w:val="22"/>
          <w:szCs w:val="22"/>
        </w:rPr>
        <w:t xml:space="preserve">QualityHub is structured around three functional planes, each responsible for a distinct stage of the data lifecycle: ingestion, analysis, and presentation. The three planes communicate through an Apache Kafka event bus, which decouples producers from consumers, enables replay of historical events, and provides the horizontal scalability necessary to handle large test volumes without back-pressure on the ingestion endpoints.</w:t>
      </w:r>
    </w:p>
    <w:p>
      <w:pPr>
        <w:spacing w:after="40" w:before="40"/>
      </w:pPr>
    </w:p>
    <w:p>
      <w:pPr>
        <w:spacing w:after="100" w:before="80" w:line="276"/>
        <w:jc w:val="both"/>
      </w:pPr>
      <w:r>
        <w:rPr>
          <w:rFonts w:ascii="Arial" w:cs="Arial" w:eastAsia="Arial" w:hAnsi="Arial"/>
          <w:b w:val="false"/>
          <w:bCs w:val="false"/>
          <w:color w:val="000000"/>
          <w:sz w:val="22"/>
          <w:szCs w:val="22"/>
        </w:rPr>
        <w:t xml:space="preserve">The Ingestion Plane exposes the Test Result Ingestion API, a set of REST endpoints that accept raw test reports over HTTPS from CI/CD pipeline agents. On receipt, a format-specific adapter parses the report and converts its contents into one or more Canonical Test Events (CTEs), which are then published to the test-events Kafka topic. Adapters exist for each of the six test categories shown in Table 1.</w:t>
      </w:r>
    </w:p>
    <w:p>
      <w:pPr>
        <w:spacing w:after="40" w:before="40"/>
      </w:pPr>
    </w:p>
    <w:p>
      <w:pPr>
        <w:spacing w:after="100" w:before="80" w:line="276"/>
        <w:jc w:val="both"/>
      </w:pPr>
      <w:r>
        <w:rPr>
          <w:rFonts w:ascii="Arial" w:cs="Arial" w:eastAsia="Arial" w:hAnsi="Arial"/>
          <w:b w:val="false"/>
          <w:bCs w:val="false"/>
          <w:color w:val="000000"/>
          <w:sz w:val="22"/>
          <w:szCs w:val="22"/>
        </w:rPr>
        <w:t xml:space="preserve">The Analytics Plane subscribes to the test-events topic and feeds incoming CTEs through the Pass/Fail Aggregation Engine (PFAE). The PFAE maintains running counters at four granularity levels — individual test case, test suite, team, and organisation — and persists the resulting metrics to an Apache Druid time-series store. Full-resolution data is retained for 90 days; hourly-aggregated summaries are stored indefinitely to support long-term trend queries.</w:t>
      </w:r>
    </w:p>
    <w:p>
      <w:pPr>
        <w:spacing w:after="40" w:before="40"/>
      </w:pPr>
    </w:p>
    <w:p>
      <w:pPr>
        <w:spacing w:after="100" w:before="80" w:line="276"/>
        <w:jc w:val="both"/>
      </w:pPr>
      <w:r>
        <w:rPr>
          <w:rFonts w:ascii="Arial" w:cs="Arial" w:eastAsia="Arial" w:hAnsi="Arial"/>
          <w:b w:val="false"/>
          <w:bCs w:val="false"/>
          <w:color w:val="000000"/>
          <w:sz w:val="22"/>
          <w:szCs w:val="22"/>
        </w:rPr>
        <w:t xml:space="preserve">The Presentation Plane serves the QualityHub React dashboard and a GraphQL API used by external integrations including Slack, Jira, and PagerDuty. Live metric updates are streamed to active browser sessions via WebSocket connections backed by dedicated Kafka consumer groups, ensuring that the dashboard reflects the current state of the test estate within five seconds of any new result arriving.</w:t>
      </w:r>
    </w:p>
    <w:p>
      <w:pPr>
        <w:spacing w:after="80" w:before="80"/>
      </w:pPr>
    </w:p>
    <w:p>
      <w:pPr>
        <w:pStyle w:val="Heading2"/>
        <w:spacing w:after="120" w:before="240"/>
      </w:pPr>
      <w:r>
        <w:rPr>
          <w:rFonts w:ascii="Arial" w:cs="Arial" w:eastAsia="Arial" w:hAnsi="Arial"/>
          <w:b/>
          <w:bCs/>
          <w:color w:val="1A3C6E"/>
          <w:sz w:val="24"/>
          <w:szCs w:val="24"/>
        </w:rPr>
        <w:t xml:space="preserve">3.2 Canonical Test Event Schema</w:t>
      </w:r>
    </w:p>
    <w:p>
      <w:pPr>
        <w:spacing w:after="100" w:before="80" w:line="276"/>
        <w:jc w:val="both"/>
      </w:pPr>
      <w:r>
        <w:rPr>
          <w:rFonts w:ascii="Arial" w:cs="Arial" w:eastAsia="Arial" w:hAnsi="Arial"/>
          <w:b w:val="false"/>
          <w:bCs w:val="false"/>
          <w:color w:val="000000"/>
          <w:sz w:val="22"/>
          <w:szCs w:val="22"/>
        </w:rPr>
        <w:t xml:space="preserve">All test results, regardless of which framework or tool produced them, are converted to the Canonical Test Event (CTE) schema before entering the analytics pipeline. The CTE is defined as a JSON Schema (Draft 7) document. Table 2 lists the fields that every CTE must contain.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tblHeader/>
        </w:trPr>
        <w:tc>
          <w:tcPr>
            <w:tcW w:type="dxa" w:w="22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638"/>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UUID v4</w:t>
            </w:r>
          </w:p>
        </w:tc>
        <w:tc>
          <w:tcPr>
            <w:tcW w:type="dxa" w:w="5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Unique identifier assigned to this individual test event</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orgId</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5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Namespace identifying the organisation (e.g., acme-corp)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teamId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5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Identifier for the team that owns this test (e.g., payments-team)</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testType</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Enum</w:t>
            </w:r>
          </w:p>
        </w:tc>
        <w:tc>
          <w:tcPr>
            <w:tcW w:type="dxa" w:w="5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Category: UNIT | BDD | SMOKE | INTEGRATION | E2E_PLAYWRIGHT | E2E_TESTCAFE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suiteName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5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of the test suite or feature file containing this test</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testName</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5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Descriptive name of the individual test case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status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Enum</w:t>
            </w:r>
          </w:p>
        </w:tc>
        <w:tc>
          <w:tcPr>
            <w:tcW w:type="dxa" w:w="5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Outcome: PASSED | FAILED | SKIPPED | PENDING</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durationMs</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w:t>
            </w:r>
          </w:p>
        </w:tc>
        <w:tc>
          <w:tcPr>
            <w:tcW w:type="dxa" w:w="5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Wall-clock execution time in milliseconds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ISO 8601</w:t>
            </w:r>
          </w:p>
        </w:tc>
        <w:tc>
          <w:tcPr>
            <w:tcW w:type="dxa" w:w="5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UTC date-time at which the test completed</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environment</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5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Target environment at the time of execution: dev | staging | prod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5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Identifier of the CI/CD build or pipeline run</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errorMessage</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5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Failure message or abbreviated stack trace — present only when status is FAILED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tags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5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Optional labels for filtering, e.g., regression, critical, nightly</w:t>
            </w:r>
          </w:p>
        </w:tc>
      </w:tr>
    </w:tbl>
    <w:p>
      <w:pPr>
        <w:spacing w:after="100" w:before="60"/>
        <w:jc w:val="center"/>
      </w:pPr>
      <w:r>
        <w:rPr>
          <w:rFonts w:ascii="Arial" w:cs="Arial" w:eastAsia="Arial" w:hAnsi="Arial"/>
          <w:b/>
          <w:bCs/>
          <w:color w:val="555555"/>
          <w:sz w:val="20"/>
          <w:szCs w:val="20"/>
        </w:rPr>
        <w:t xml:space="preserve">Table 2. Canonical Test Event (CTE) Schema</w:t>
      </w:r>
    </w:p>
    <w:p>
      <w:pPr>
        <w:pStyle w:val="Heading2"/>
        <w:spacing w:after="120" w:before="240"/>
      </w:pPr>
      <w:r>
        <w:rPr>
          <w:rFonts w:ascii="Arial" w:cs="Arial" w:eastAsia="Arial" w:hAnsi="Arial"/>
          <w:b/>
          <w:bCs/>
          <w:color w:val="1A3C6E"/>
          <w:sz w:val="24"/>
          <w:szCs w:val="24"/>
        </w:rPr>
        <w:t xml:space="preserve">3.3 Pass/Fail Aggregation Engine</w:t>
      </w:r>
    </w:p>
    <w:p>
      <w:pPr>
        <w:spacing w:after="100" w:before="80" w:line="276"/>
        <w:jc w:val="both"/>
      </w:pPr>
      <w:r>
        <w:rPr>
          <w:rFonts w:ascii="Arial" w:cs="Arial" w:eastAsia="Arial" w:hAnsi="Arial"/>
          <w:b w:val="false"/>
          <w:bCs w:val="false"/>
          <w:color w:val="000000"/>
          <w:sz w:val="22"/>
          <w:szCs w:val="22"/>
        </w:rPr>
        <w:t xml:space="preserve">The Pass/Fail Aggregation Engine is the analytical heart of QualityHub. It reads every incoming CTE and updates rolling counters that feed the dashboard metrics. Pass percentage and fail percentage are calculated as follows:</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1"/>
              <w:left w:val="single" w:color="2E75B6" w:sz="1"/>
              <w:bottom w:val="single" w:color="2E75B6" w:sz="1"/>
              <w:right w:val="single" w:color="2E75B6" w:sz="1"/>
            </w:tcBorders>
            <w:shd w:fill="F0F4FA" w:val="clear"/>
            <w:tcMar>
              <w:top w:type="dxa" w:w="160"/>
              <w:left w:type="dxa" w:w="240"/>
              <w:bottom w:type="dxa" w:w="160"/>
              <w:right w:type="dxa" w:w="240"/>
            </w:tcMar>
          </w:tcPr>
          <w:p>
            <w:pPr>
              <w:spacing w:after="80" w:before="0"/>
              <w:jc w:val="center"/>
            </w:pPr>
            <w:r>
              <w:rPr>
                <w:rFonts w:ascii="Arial" w:cs="Arial" w:eastAsia="Arial" w:hAnsi="Arial"/>
                <w:b/>
                <w:bCs/>
                <w:color w:val="1A3C6E"/>
                <w:sz w:val="24"/>
                <w:szCs w:val="24"/>
              </w:rPr>
              <w:t xml:space="preserve">Pass Percentage (PP)  =  ( Passed Tests  /  Executed Tests )  ×  100</w:t>
            </w:r>
          </w:p>
          <w:p>
            <w:pPr>
              <w:spacing w:after="80" w:before="0"/>
              <w:jc w:val="center"/>
            </w:pPr>
            <w:r>
              <w:rPr>
                <w:rFonts w:ascii="Arial" w:cs="Arial" w:eastAsia="Arial" w:hAnsi="Arial"/>
                <w:b/>
                <w:bCs/>
                <w:color w:val="C0392B"/>
                <w:sz w:val="24"/>
                <w:szCs w:val="24"/>
              </w:rPr>
              <w:t xml:space="preserve">Fail Percentage (FP)   =  ( Failed Tests  /  Executed Tests )  ×  100</w:t>
            </w:r>
          </w:p>
          <w:p>
            <w:pPr>
              <w:spacing w:after="0" w:before="0"/>
              <w:jc w:val="center"/>
            </w:pPr>
            <w:r>
              <w:rPr>
                <w:rFonts w:ascii="Arial" w:cs="Arial" w:eastAsia="Arial" w:hAnsi="Arial"/>
                <w:color w:val="444444"/>
                <w:sz w:val="20"/>
                <w:szCs w:val="20"/>
              </w:rPr>
              <w:t xml:space="preserve">Executed Tests  =  Passed + Failed   (Skipped and Pending are excluded from the denominator by default; this behaviour is configurable per organisation)</w:t>
            </w:r>
          </w:p>
        </w:tc>
      </w:tr>
    </w:tbl>
    <w:p>
      <w:pPr>
        <w:spacing w:after="80" w:before="80"/>
      </w:pPr>
    </w:p>
    <w:p>
      <w:pPr>
        <w:spacing w:after="100" w:before="80" w:line="276"/>
        <w:jc w:val="both"/>
      </w:pPr>
      <w:r>
        <w:rPr>
          <w:rFonts w:ascii="Arial" w:cs="Arial" w:eastAsia="Arial" w:hAnsi="Arial"/>
          <w:b w:val="false"/>
          <w:bCs w:val="false"/>
          <w:color w:val="000000"/>
          <w:sz w:val="22"/>
          <w:szCs w:val="22"/>
        </w:rPr>
        <w:t xml:space="preserve">The engine calculates these figures across three independent dimensions at the same time. The Test-Type Dimension produces separate PP and FP values for each of the six test categories, making it straightforward to compare the health of the BDD acceptance suite against the E2E browser suite. The Team Dimension produces PP and FP values per team, enabling managers to identify which teams are experiencing elevated failure rates. The Organisation Dimension rolls all teams and all test types together into a single company-wide quality signal suitable for executive reporting. Every dimension is updated within five seconds of a new CTE arriving, and all historical values are queryable for trend analysis and anomaly detection.</w:t>
      </w:r>
    </w:p>
    <w:p>
      <w:pPr>
        <w:spacing w:after="40" w:before="40"/>
      </w:pPr>
    </w:p>
    <w:p>
      <w:pPr>
        <w:spacing w:after="100" w:before="80" w:line="276"/>
        <w:jc w:val="both"/>
      </w:pPr>
      <w:r>
        <w:rPr>
          <w:rFonts w:ascii="Arial" w:cs="Arial" w:eastAsia="Arial" w:hAnsi="Arial"/>
          <w:b w:val="false"/>
          <w:bCs w:val="false"/>
          <w:color w:val="000000"/>
          <w:sz w:val="22"/>
          <w:szCs w:val="22"/>
        </w:rPr>
        <w:t xml:space="preserve">An optional anomaly detector runs continuously over the per-team and per-type metrics. It raises an alert when the fail percentage crosses a configurable threshold — set to ten percent by default — or when the fail percentage increases by more than five percentage points within a 24-hour rolling window. These alerts are forwarded to the configured Slack channels, Jira projects, or PagerDuty services depending on team preferences.</w:t>
      </w:r>
    </w:p>
    <w:p>
      <w:pPr>
        <w:spacing w:after="100" w:before="100"/>
      </w:pPr>
    </w:p>
    <w:p>
      <w:pPr>
        <w:pStyle w:val="Heading1"/>
        <w:spacing w:after="120" w:before="240"/>
      </w:pPr>
      <w:r>
        <w:rPr>
          <w:rFonts w:ascii="Arial" w:cs="Arial" w:eastAsia="Arial" w:hAnsi="Arial"/>
          <w:b/>
          <w:bCs/>
          <w:color w:val="1A3C6E"/>
          <w:sz w:val="26"/>
          <w:szCs w:val="26"/>
        </w:rPr>
        <w:t xml:space="preserve">4. Tool Integration and Adapter Design</w:t>
      </w:r>
    </w:p>
    <w:p>
      <w:pPr>
        <w:pStyle w:val="Heading2"/>
        <w:spacing w:after="120" w:before="240"/>
      </w:pPr>
      <w:r>
        <w:rPr>
          <w:rFonts w:ascii="Arial" w:cs="Arial" w:eastAsia="Arial" w:hAnsi="Arial"/>
          <w:b/>
          <w:bCs/>
          <w:color w:val="1A3C6E"/>
          <w:sz w:val="24"/>
          <w:szCs w:val="24"/>
        </w:rPr>
        <w:t xml:space="preserve">4.1 BDD / Cucumber Adapter</w:t>
      </w:r>
    </w:p>
    <w:p>
      <w:pPr>
        <w:spacing w:after="100" w:before="80" w:line="276"/>
        <w:jc w:val="both"/>
      </w:pPr>
      <w:r>
        <w:rPr>
          <w:rFonts w:ascii="Arial" w:cs="Arial" w:eastAsia="Arial" w:hAnsi="Arial"/>
          <w:b w:val="false"/>
          <w:bCs w:val="false"/>
          <w:color w:val="000000"/>
          <w:sz w:val="22"/>
          <w:szCs w:val="22"/>
        </w:rPr>
        <w:t xml:space="preserve">When Cucumber executes a test run it writes a JSON file containing one entry per feature, with each feature holding an array of scenarios and each scenario holding an array of step results. The BDD Adapter reads this structure and produces one CTE for every scenario. The testType field is set to BDD. The suiteName is taken from the feature name; the testName is taken from the scenario name. The status of the CTE is PASSED when every step in the scenario passes, FAILED when any step fails, and SKIPPED when the scenario was not executed. Any Gherkin tags attached to the scenario — for example @regression or @critical — are copied into the CTE tags array, preserving filtering capability in the dashboard.</w:t>
      </w:r>
    </w:p>
    <w:p>
      <w:pPr>
        <w:spacing w:after="100" w:before="100"/>
      </w:pPr>
    </w:p>
    <w:p>
      <w:pPr>
        <w:pStyle w:val="Heading2"/>
        <w:spacing w:after="120" w:before="240"/>
      </w:pPr>
      <w:r>
        <w:rPr>
          <w:rFonts w:ascii="Arial" w:cs="Arial" w:eastAsia="Arial" w:hAnsi="Arial"/>
          <w:b/>
          <w:bCs/>
          <w:color w:val="1A3C6E"/>
          <w:sz w:val="24"/>
          <w:szCs w:val="24"/>
        </w:rPr>
        <w:t xml:space="preserve">4.2 Playwright Adapter</w:t>
      </w:r>
    </w:p>
    <w:p>
      <w:pPr>
        <w:spacing w:after="100" w:before="80" w:line="276"/>
        <w:jc w:val="both"/>
      </w:pPr>
      <w:r>
        <w:rPr>
          <w:rFonts w:ascii="Arial" w:cs="Arial" w:eastAsia="Arial" w:hAnsi="Arial"/>
          <w:b w:val="false"/>
          <w:bCs w:val="false"/>
          <w:color w:val="000000"/>
          <w:sz w:val="22"/>
          <w:szCs w:val="22"/>
        </w:rPr>
        <w:t xml:space="preserve">Playwright's JSON reporter generates a hierarchical report in which suites contain specs and specs contain individual test results. Each result carries a status value drawn from the set: passed, failed, timedOut, and skipped. The Playwright Adapter walks this tree recursively and emits one CTE per result, setting testType to E2E_PLAYWRIGHT. When Playwright has retried a test, the adapter deduplicates the multiple results and uses the outcome of the final attempt as the definitive status. The durationMs field in the CTE is set to the combined wall-clock time across all attempts. For failed tests, the adapter extracts the content of the errors array from the first failing attempt and places it in the CTE errorMessage field.</w:t>
      </w:r>
    </w:p>
    <w:p>
      <w:pPr>
        <w:spacing w:after="100" w:before="100"/>
      </w:pPr>
    </w:p>
    <w:p>
      <w:pPr>
        <w:pStyle w:val="Heading2"/>
        <w:spacing w:after="120" w:before="240"/>
      </w:pPr>
      <w:r>
        <w:rPr>
          <w:rFonts w:ascii="Arial" w:cs="Arial" w:eastAsia="Arial" w:hAnsi="Arial"/>
          <w:b/>
          <w:bCs/>
          <w:color w:val="1A3C6E"/>
          <w:sz w:val="24"/>
          <w:szCs w:val="24"/>
        </w:rPr>
        <w:t xml:space="preserve">4.3 TestCafe Adapter</w:t>
      </w:r>
    </w:p>
    <w:p>
      <w:pPr>
        <w:spacing w:after="100" w:before="80" w:line="276"/>
        <w:jc w:val="both"/>
      </w:pPr>
      <w:r>
        <w:rPr>
          <w:rFonts w:ascii="Arial" w:cs="Arial" w:eastAsia="Arial" w:hAnsi="Arial"/>
          <w:b w:val="false"/>
          <w:bCs w:val="false"/>
          <w:color w:val="000000"/>
          <w:sz w:val="22"/>
          <w:szCs w:val="22"/>
        </w:rPr>
        <w:t xml:space="preserve">TestCafe organises its output around fixtures and tests, and its reporters can write either JSON or xUnit XML. The TestCafe Adapter supports both formats; the xUnit XML variant is preferred in CI environments because it is already generated by most pipeline configurations without additional plugin installation. In both cases, the adapter maps fixture names to suiteName and test names to testName. A test is classified as FAILED when the errs array in its result object is non-empty, and as SKIPPED when the skipped property is true. The testType is set to E2E_TESTCAFE. Where screenshot file paths are present in the result, they are recorded in an extensions field attached to the CTE; they are not part of the core schema and do not affect metric calculations.</w:t>
      </w:r>
    </w:p>
    <w:p>
      <w:pPr>
        <w:spacing w:after="100" w:before="100"/>
      </w:pPr>
    </w:p>
    <w:p>
      <w:pPr>
        <w:pStyle w:val="Heading2"/>
        <w:spacing w:after="120" w:before="240"/>
      </w:pPr>
      <w:r>
        <w:rPr>
          <w:rFonts w:ascii="Arial" w:cs="Arial" w:eastAsia="Arial" w:hAnsi="Arial"/>
          <w:b/>
          <w:bCs/>
          <w:color w:val="1A3C6E"/>
          <w:sz w:val="24"/>
          <w:szCs w:val="24"/>
        </w:rPr>
        <w:t xml:space="preserve">4.4 Unit Test Adapter</w:t>
      </w:r>
    </w:p>
    <w:p>
      <w:pPr>
        <w:spacing w:after="100" w:before="80" w:line="276"/>
        <w:jc w:val="both"/>
      </w:pPr>
      <w:r>
        <w:rPr>
          <w:rFonts w:ascii="Arial" w:cs="Arial" w:eastAsia="Arial" w:hAnsi="Arial"/>
          <w:b w:val="false"/>
          <w:bCs w:val="false"/>
          <w:color w:val="000000"/>
          <w:sz w:val="22"/>
          <w:szCs w:val="22"/>
        </w:rPr>
        <w:t xml:space="preserve">Unit test frameworks across the major programming languages share the JUnit XML report format as a common output option: Jest produces it via the jest-junit transformer, JUnit 5 produces it natively, NUnit and MSTest produce xUnit-compatible XML, and PyTest generates it through the pytest-junit plugin. The Unit Test Adapter parses the testsuite and testcase element hierarchy present in these files. Each testcase element yields one CTE with testType set to UNIT. Failure detail is extracted from the child failure or error elements. The adapter handles both single-file reports and the multi-file aggregator pattern in which a CI job writes one XML file per test module. Build metadata such as the git commit hash, build identifier, and target environment are injected into the CTE at ingestion time from CI environment variables.</w:t>
      </w:r>
    </w:p>
    <w:p>
      <w:pPr>
        <w:spacing w:after="100" w:before="100"/>
      </w:pPr>
    </w:p>
    <w:p>
      <w:pPr>
        <w:pStyle w:val="Heading2"/>
        <w:spacing w:after="120" w:before="240"/>
      </w:pPr>
      <w:r>
        <w:rPr>
          <w:rFonts w:ascii="Arial" w:cs="Arial" w:eastAsia="Arial" w:hAnsi="Arial"/>
          <w:b/>
          <w:bCs/>
          <w:color w:val="1A3C6E"/>
          <w:sz w:val="24"/>
          <w:szCs w:val="24"/>
        </w:rPr>
        <w:t xml:space="preserve">4.5 Smoke and Integration Test Adapters</w:t>
      </w:r>
    </w:p>
    <w:p>
      <w:pPr>
        <w:spacing w:after="100" w:before="80" w:line="276"/>
        <w:jc w:val="both"/>
      </w:pPr>
      <w:r>
        <w:rPr>
          <w:rFonts w:ascii="Arial" w:cs="Arial" w:eastAsia="Arial" w:hAnsi="Arial"/>
          <w:b w:val="false"/>
          <w:bCs w:val="false"/>
          <w:color w:val="000000"/>
          <w:sz w:val="22"/>
          <w:szCs w:val="22"/>
        </w:rPr>
        <w:t xml:space="preserve">Smoke tests and integration tests are executed using a wider variety of tools than the other categories, because their scope spans custom shell scripts, API testing collections, load testing frameworks, and dedicated contract testing libraries. QualityHub accommodates this diversity through two ingestion paths. The first path accepts standard JUnit XML files and uses a query parameter to override the testType value to either SMOKE or INTEGRATION, allowing teams to reuse existing reporter configurations without modification. The second path accepts a lightweight JSON payload at a dedicated endpoint; this payload is a simplified subset of the CTE schema and is easy for teams to write directly from their own test harnesses. A companion npm package, newman-reporter-qualityhub, is available for teams using Postman and Newman; it hooks into the Newman reporter lifecycle and calls the ingestion endpoint automatically at the end of each collection run, mapping collection names to suiteName and request names to testName.</w:t>
      </w:r>
    </w:p>
    <w:p>
      <w:pPr>
        <w:spacing w:after="100" w:before="100"/>
      </w:pPr>
    </w:p>
    <w:p>
      <w:pPr>
        <w:pStyle w:val="Heading1"/>
        <w:spacing w:after="120" w:before="240"/>
      </w:pPr>
      <w:r>
        <w:rPr>
          <w:rFonts w:ascii="Arial" w:cs="Arial" w:eastAsia="Arial" w:hAnsi="Arial"/>
          <w:b/>
          <w:bCs/>
          <w:color w:val="1A3C6E"/>
          <w:sz w:val="26"/>
          <w:szCs w:val="26"/>
        </w:rPr>
        <w:t xml:space="preserve">5. Dashboard Design and User Experience</w:t>
      </w:r>
    </w:p>
    <w:p>
      <w:pPr>
        <w:pStyle w:val="Heading2"/>
        <w:spacing w:after="120" w:before="240"/>
      </w:pPr>
      <w:r>
        <w:rPr>
          <w:rFonts w:ascii="Arial" w:cs="Arial" w:eastAsia="Arial" w:hAnsi="Arial"/>
          <w:b/>
          <w:bCs/>
          <w:color w:val="1A3C6E"/>
          <w:sz w:val="24"/>
          <w:szCs w:val="24"/>
        </w:rPr>
        <w:t xml:space="preserve">5.1 Dashboard Structure</w:t>
      </w:r>
    </w:p>
    <w:p>
      <w:pPr>
        <w:spacing w:after="100" w:before="80" w:line="276"/>
        <w:jc w:val="both"/>
      </w:pPr>
      <w:r>
        <w:rPr>
          <w:rFonts w:ascii="Arial" w:cs="Arial" w:eastAsia="Arial" w:hAnsi="Arial"/>
          <w:b w:val="false"/>
          <w:bCs w:val="false"/>
          <w:color w:val="000000"/>
          <w:sz w:val="22"/>
          <w:szCs w:val="22"/>
        </w:rPr>
        <w:t xml:space="preserve">The QualityHub dashboard is a single-page web application built with React and served over HTTPS. Authentication is handled through the organisation's existing identity provider using SAML 2.0 or OIDC, enabling single sign-on without requiring separate credentials. The dashboard is organised in a hierarchy that mirrors the three aggregation dimensions of the PFAE: the top level presents organisation-wide metrics, the second level presents team-scoped metrics, and the third level presents individual build details. Table 3 describes each panel in the dashboard.</w:t>
      </w:r>
    </w:p>
    <w:p>
      <w:pPr>
        <w:spacing w:after="60" w:before="60"/>
      </w:pPr>
    </w:p>
    <w:p>
      <w:pPr>
        <w:spacing w:after="60" w:before="60"/>
        <w:jc w:val="center"/>
      </w:pPr>
      <w:r>
        <w:rPr>
          <w:rFonts w:ascii="Arial" w:cs="Arial" w:eastAsia="Arial" w:hAnsi="Arial"/>
          <w:b/>
          <w:bCs/>
          <w:color w:val="1A3C6E"/>
          <w:sz w:val="22"/>
          <w:szCs w:val="22"/>
        </w:rPr>
        <w:t xml:space="preserve">Table 3. QualityHub Dashboard Panels and Primary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38"/>
        <w:gridCol w:w="4000"/>
      </w:tblGrid>
      <w:tr>
        <w:trPr>
          <w:tblHeader/>
        </w:trPr>
        <w:tc>
          <w:tcPr>
            <w:tcW w:type="dxa" w:w="24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Panel</w:t>
            </w:r>
          </w:p>
        </w:tc>
        <w:tc>
          <w:tcPr>
            <w:tcW w:type="dxa" w:w="3238"/>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Scope</w:t>
            </w:r>
          </w:p>
        </w:tc>
        <w:tc>
          <w:tcPr>
            <w:tcW w:type="dxa" w:w="40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Primary Metrics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Organisation Overview</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teams, all test types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Company-wide PP and FP gauges; daily test volume; trend sparklines</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Team Scorecard</w:t>
            </w:r>
          </w:p>
        </w:tc>
        <w:tc>
          <w:tcPr>
            <w:tcW w:type="dxa" w:w="32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Single team, all test types</w:t>
            </w:r>
          </w:p>
        </w:tc>
        <w:tc>
          <w:tcPr>
            <w:tcW w:type="dxa" w:w="40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Per-category PP and FP bar chart; team rank against company average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Test Type Breakdown</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teams, one test category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Team-by-team comparison; failure rate heat map over time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Details</w:t>
            </w:r>
          </w:p>
        </w:tc>
        <w:tc>
          <w:tcPr>
            <w:tcW w:type="dxa" w:w="32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Single CI pipeline run</w:t>
            </w:r>
          </w:p>
        </w:tc>
        <w:tc>
          <w:tcPr>
            <w:tcW w:type="dxa" w:w="40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Suite-level pass/fail table; list of failed tests with error excerpts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Trend Analysis</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Configurable team, category, date range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PP and FP line chart; configurable moving-average; SLA reference line</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Alert Centre</w:t>
            </w:r>
          </w:p>
        </w:tc>
        <w:tc>
          <w:tcPr>
            <w:tcW w:type="dxa" w:w="32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Organisation-wide</w:t>
            </w:r>
          </w:p>
        </w:tc>
        <w:tc>
          <w:tcPr>
            <w:tcW w:type="dxa" w:w="40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Active threshold breaches; historical SLA violation log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BDD Scenario Explorer</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BDD category only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Feature and scenario drill-down; tag-based and status-based filtering</w:t>
            </w:r>
          </w:p>
        </w:tc>
      </w:tr>
      <w:tr>
        <w:tc>
          <w:tcPr>
            <w:tcW w:type="dxa" w:w="2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Playwright Trace Viewer</w:t>
            </w:r>
          </w:p>
        </w:tc>
        <w:tc>
          <w:tcPr>
            <w:tcW w:type="dxa" w:w="32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E2E Playwright category only</w:t>
            </w:r>
          </w:p>
        </w:tc>
        <w:tc>
          <w:tcPr>
            <w:tcW w:type="dxa" w:w="40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Linked Playwright traces; screenshot gallery for failing tests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TestCafe Report View</w:t>
            </w:r>
          </w:p>
        </w:tc>
        <w:tc>
          <w:tcPr>
            <w:tcW w:type="dxa" w:w="32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E2E TestCafe category only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Fixture and test hierarchy; screenshot thumbnail attachments</w:t>
            </w:r>
          </w:p>
        </w:tc>
      </w:tr>
    </w:tbl>
    <w:p>
      <w:pPr>
        <w:spacing w:after="80" w:before="80"/>
      </w:pPr>
    </w:p>
    <w:p>
      <w:pPr>
        <w:pStyle w:val="Heading2"/>
        <w:spacing w:after="120" w:before="240"/>
      </w:pPr>
      <w:r>
        <w:rPr>
          <w:rFonts w:ascii="Arial" w:cs="Arial" w:eastAsia="Arial" w:hAnsi="Arial"/>
          <w:b/>
          <w:bCs/>
          <w:color w:val="1A3C6E"/>
          <w:sz w:val="24"/>
          <w:szCs w:val="24"/>
        </w:rPr>
        <w:t xml:space="preserve">5.2 Pass/Fail Percentage Visualisation</w:t>
      </w:r>
    </w:p>
    <w:p>
      <w:pPr>
        <w:spacing w:after="100" w:before="80" w:line="276"/>
        <w:jc w:val="both"/>
      </w:pPr>
      <w:r>
        <w:rPr>
          <w:rFonts w:ascii="Arial" w:cs="Arial" w:eastAsia="Arial" w:hAnsi="Arial"/>
          <w:b w:val="false"/>
          <w:bCs w:val="false"/>
          <w:color w:val="000000"/>
          <w:sz w:val="22"/>
          <w:szCs w:val="22"/>
        </w:rPr>
        <w:t xml:space="preserve">The pass and fail percentages are the central metric throughout the dashboard and are rendered in three complementary ways. A radial gauge at the top of each panel displays the current pass percentage in green and the fail percentage in red, with a numeric label in the centre. The gauge updates smoothly in real time as new CTEs arrive via the WebSocket connection, giving viewers an immediate sense of whether quality is stable or deteriorating. A horizontal stacked bar chart on the Team Scorecard panel draws one bar per test category, with the green pass segment and the red fail segment forming a complete bar to 100%. This layout makes it effortless to identify which test category within a team is causing the most failures. A time-series line chart on the Trend Analysis panel plots the pass percentage as a green line and the fail percentage as a red line on a shared vertical axis ranging from zero to 100%. A configurable horizontal reference line marks the agreed pass-rate target — set to 90% by default — so that periods of SLA breach are immediately visible.</w:t>
      </w:r>
    </w:p>
    <w:p>
      <w:pPr>
        <w:spacing w:after="40" w:before="40"/>
      </w:pPr>
    </w:p>
    <w:p>
      <w:pPr>
        <w:spacing w:after="100" w:before="80" w:line="276"/>
        <w:jc w:val="both"/>
      </w:pPr>
      <w:r>
        <w:rPr>
          <w:rFonts w:ascii="Arial" w:cs="Arial" w:eastAsia="Arial" w:hAnsi="Arial"/>
          <w:b w:val="false"/>
          <w:bCs w:val="false"/>
          <w:color w:val="000000"/>
          <w:sz w:val="22"/>
          <w:szCs w:val="22"/>
        </w:rPr>
        <w:t xml:space="preserve">Skipped and pending tests are shown as a separate amber segment on the stacked bar chart and excluded from the gauge and line chart by default. The denominator used in every percentage calculation is displayed explicitly next to the metric — for example, 482 tests executed, 14 skipped — so that readers always understand the basis for the figures being shown.</w:t>
      </w:r>
    </w:p>
    <w:p>
      <w:pPr>
        <w:spacing w:after="100" w:before="100"/>
      </w:pPr>
    </w:p>
    <w:p>
      <w:pPr>
        <w:pStyle w:val="Heading1"/>
        <w:spacing w:after="120" w:before="240"/>
      </w:pPr>
      <w:r>
        <w:rPr>
          <w:rFonts w:ascii="Arial" w:cs="Arial" w:eastAsia="Arial" w:hAnsi="Arial"/>
          <w:b/>
          <w:bCs/>
          <w:color w:val="1A3C6E"/>
          <w:sz w:val="26"/>
          <w:szCs w:val="26"/>
        </w:rPr>
        <w:t xml:space="preserve">6. Empirical Evaluation</w:t>
      </w:r>
    </w:p>
    <w:p>
      <w:pPr>
        <w:pStyle w:val="Heading2"/>
        <w:spacing w:after="120" w:before="240"/>
      </w:pPr>
      <w:r>
        <w:rPr>
          <w:rFonts w:ascii="Arial" w:cs="Arial" w:eastAsia="Arial" w:hAnsi="Arial"/>
          <w:b/>
          <w:bCs/>
          <w:color w:val="1A3C6E"/>
          <w:sz w:val="24"/>
          <w:szCs w:val="24"/>
        </w:rPr>
        <w:t xml:space="preserve">6.1 Study Context and Design</w:t>
      </w:r>
    </w:p>
    <w:p>
      <w:pPr>
        <w:spacing w:after="100" w:before="80" w:line="276"/>
        <w:jc w:val="both"/>
      </w:pPr>
      <w:r>
        <w:rPr>
          <w:rFonts w:ascii="Arial" w:cs="Arial" w:eastAsia="Arial" w:hAnsi="Arial"/>
          <w:b w:val="false"/>
          <w:bCs w:val="false"/>
          <w:color w:val="000000"/>
          <w:sz w:val="22"/>
          <w:szCs w:val="22"/>
        </w:rPr>
        <w:t xml:space="preserve">Note: The evaluation presented in this section is based on a simulated prototype trial designed to illustrate the practical application and measurable impact of QualityHub. The scenario involves a mid-sized software organisation with approximately 120 engineers organised into four cross-functional delivery teams: Team Alpha (e-commerce checkout), Team Beta (user authentication), Team Gamma (reporting and analytics), and Team Delta (mobile API). Each team was configured to push test results from their existing pipelines into a QualityHub prototype instance over a three-month simulation window. Baseline figures represent the state of each metric at the start of the trial, captured by mining historical CI pipeline logs. End-of-trial figures represent the values observed after three months of using the QualityHub dashboard as the primary quality reporting interface. A reference group of two teams that did not adopt QualityHub during the trial period is included for comparison. Weekly test execution volumes across the four teams ranged from 42,000 to 68,000 individual test runs.</w:t>
      </w:r>
    </w:p>
    <w:p>
      <w:pPr>
        <w:spacing w:after="100" w:before="100"/>
      </w:pPr>
    </w:p>
    <w:p>
      <w:pPr>
        <w:pStyle w:val="Heading2"/>
        <w:spacing w:after="120" w:before="240"/>
      </w:pPr>
      <w:r>
        <w:rPr>
          <w:rFonts w:ascii="Arial" w:cs="Arial" w:eastAsia="Arial" w:hAnsi="Arial"/>
          <w:b/>
          <w:bCs/>
          <w:color w:val="1A3C6E"/>
          <w:sz w:val="24"/>
          <w:szCs w:val="24"/>
        </w:rPr>
        <w:t xml:space="preserve">6.2 Outcome Measures</w:t>
      </w:r>
    </w:p>
    <w:p>
      <w:pPr>
        <w:pStyle w:val="ListParagraph"/>
        <w:numPr>
          <w:ilvl w:val="0"/>
          <w:numId w:val="2"/>
        </w:numPr>
        <w:spacing w:after="60" w:before="40"/>
      </w:pPr>
      <w:r>
        <w:rPr>
          <w:rFonts w:ascii="Arial" w:cs="Arial" w:eastAsia="Arial" w:hAnsi="Arial"/>
          <w:sz w:val="22"/>
          <w:szCs w:val="22"/>
        </w:rPr>
        <w:t xml:space="preserve">Defect Escape Rate (DER): the proportion of software defects that were not caught during testing and were instead discovered by users or monitoring in production.</w:t>
      </w:r>
    </w:p>
    <w:p>
      <w:pPr>
        <w:pStyle w:val="ListParagraph"/>
        <w:numPr>
          <w:ilvl w:val="0"/>
          <w:numId w:val="2"/>
        </w:numPr>
        <w:spacing w:after="60" w:before="40"/>
      </w:pPr>
      <w:r>
        <w:rPr>
          <w:rFonts w:ascii="Arial" w:cs="Arial" w:eastAsia="Arial" w:hAnsi="Arial"/>
          <w:sz w:val="22"/>
          <w:szCs w:val="22"/>
        </w:rPr>
        <w:t xml:space="preserve">Mean Time to Detect (MTTD): the average elapsed time between a test failure first appearing in a pipeline run and a developer acknowledging the failure by opening the relevant report or creating a ticket.</w:t>
      </w:r>
    </w:p>
    <w:p>
      <w:pPr>
        <w:pStyle w:val="ListParagraph"/>
        <w:numPr>
          <w:ilvl w:val="0"/>
          <w:numId w:val="2"/>
        </w:numPr>
        <w:spacing w:after="60" w:before="40"/>
      </w:pPr>
      <w:r>
        <w:rPr>
          <w:rFonts w:ascii="Arial" w:cs="Arial" w:eastAsia="Arial" w:hAnsi="Arial"/>
          <w:sz w:val="22"/>
          <w:szCs w:val="22"/>
        </w:rPr>
        <w:t xml:space="preserve">Cross-Team Visibility Score (CTVS): a quarterly survey score on a five-point Likert scale measuring how confidently engineers could describe the quality status of the teams whose services they consumed.</w:t>
      </w:r>
    </w:p>
    <w:p>
      <w:pPr>
        <w:pStyle w:val="ListParagraph"/>
        <w:numPr>
          <w:ilvl w:val="0"/>
          <w:numId w:val="2"/>
        </w:numPr>
        <w:spacing w:after="60" w:before="40"/>
      </w:pPr>
      <w:r>
        <w:rPr>
          <w:rFonts w:ascii="Arial" w:cs="Arial" w:eastAsia="Arial" w:hAnsi="Arial"/>
          <w:sz w:val="22"/>
          <w:szCs w:val="22"/>
        </w:rPr>
        <w:t xml:space="preserve">Dashboard Adoption Rate (DAR): the percentage of engineers who opened the QualityHub dashboard at least once during a two-week sprint.</w:t>
      </w:r>
    </w:p>
    <w:p>
      <w:pPr>
        <w:pStyle w:val="ListParagraph"/>
        <w:numPr>
          <w:ilvl w:val="0"/>
          <w:numId w:val="2"/>
        </w:numPr>
        <w:spacing w:after="60" w:before="40"/>
      </w:pPr>
      <w:r>
        <w:rPr>
          <w:rFonts w:ascii="Arial" w:cs="Arial" w:eastAsia="Arial" w:hAnsi="Arial"/>
          <w:sz w:val="22"/>
          <w:szCs w:val="22"/>
        </w:rPr>
        <w:t xml:space="preserve">Alert Response Time (ART): the time between QualityHub dispatching a fail-percentage threshold alert and a team member either committing a fix or creating an investigation ticket.</w:t>
      </w:r>
    </w:p>
    <w:p>
      <w:pPr>
        <w:spacing w:after="100" w:before="100"/>
      </w:pPr>
    </w:p>
    <w:p>
      <w:pPr>
        <w:pStyle w:val="Heading2"/>
        <w:spacing w:after="120" w:before="240"/>
      </w:pPr>
      <w:r>
        <w:rPr>
          <w:rFonts w:ascii="Arial" w:cs="Arial" w:eastAsia="Arial" w:hAnsi="Arial"/>
          <w:b/>
          <w:bCs/>
          <w:color w:val="1A3C6E"/>
          <w:sz w:val="24"/>
          <w:szCs w:val="24"/>
        </w:rPr>
        <w:t xml:space="preserve">6.3 Quantitative Results</w:t>
      </w:r>
    </w:p>
    <w:p>
      <w:pPr>
        <w:spacing w:after="60" w:before="60"/>
        <w:jc w:val="center"/>
      </w:pPr>
      <w:r>
        <w:rPr>
          <w:rFonts w:ascii="Arial" w:cs="Arial" w:eastAsia="Arial" w:hAnsi="Arial"/>
          <w:b/>
          <w:bCs/>
          <w:color w:val="1A3C6E"/>
          <w:sz w:val="22"/>
          <w:szCs w:val="22"/>
        </w:rPr>
        <w:t xml:space="preserve">Table 4. Outcome Metrics — QualityHub Trial Teams vs. Reference Teams (Three-Month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638"/>
        <w:gridCol w:w="1800"/>
      </w:tblGrid>
      <w:tr>
        <w:trPr>
          <w:tblHeader/>
        </w:trPr>
        <w:tc>
          <w:tcPr>
            <w:tcW w:type="dxa" w:w="28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17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Trial Baseline</w:t>
            </w:r>
          </w:p>
        </w:tc>
        <w:tc>
          <w:tcPr>
            <w:tcW w:type="dxa" w:w="17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Trial Month 3</w:t>
            </w:r>
          </w:p>
        </w:tc>
        <w:tc>
          <w:tcPr>
            <w:tcW w:type="dxa" w:w="1638"/>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Reference Month 3</w:t>
            </w:r>
          </w:p>
        </w:tc>
        <w:tc>
          <w:tcPr>
            <w:tcW w:type="dxa" w:w="18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Change (%)</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Defect Escape Rate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10.2%</w:t>
            </w:r>
          </w:p>
        </w:tc>
        <w:tc>
          <w:tcPr>
            <w:tcW w:type="dxa" w:w="1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31%</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 Time to Detect (minutes)</w:t>
            </w:r>
          </w:p>
        </w:tc>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53.6</w:t>
            </w:r>
          </w:p>
        </w:tc>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30.1</w:t>
            </w:r>
          </w:p>
        </w:tc>
        <w:tc>
          <w:tcPr>
            <w:tcW w:type="dxa" w:w="1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52.4</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44%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Cross-Team Visibility (CTVS)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 / 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3.5 / 5</w:t>
            </w:r>
          </w:p>
        </w:tc>
        <w:tc>
          <w:tcPr>
            <w:tcW w:type="dxa" w:w="1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 / 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65%</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Dashboard Adoption Rate</w:t>
            </w:r>
          </w:p>
        </w:tc>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76%</w:t>
            </w:r>
          </w:p>
        </w:tc>
        <w:tc>
          <w:tcPr>
            <w:tcW w:type="dxa" w:w="1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N/A</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Alert Response Time (minutes)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11.2</w:t>
            </w:r>
          </w:p>
        </w:tc>
        <w:tc>
          <w:tcPr>
            <w:tcW w:type="dxa" w:w="1638"/>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Average Pass Rate (all types)</w:t>
            </w:r>
          </w:p>
        </w:tc>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76.8%</w:t>
            </w:r>
          </w:p>
        </w:tc>
        <w:tc>
          <w:tcPr>
            <w:tcW w:type="dxa" w:w="17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85.3%</w:t>
            </w:r>
          </w:p>
        </w:tc>
        <w:tc>
          <w:tcPr>
            <w:tcW w:type="dxa" w:w="1638"/>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77.1%</w:t>
            </w:r>
          </w:p>
        </w:tc>
        <w:tc>
          <w:tcPr>
            <w:tcW w:type="dxa" w:w="18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8.5 pp</w:t>
            </w:r>
          </w:p>
        </w:tc>
      </w:tr>
    </w:tbl>
    <w:p>
      <w:pPr>
        <w:spacing w:after="80" w:before="80"/>
      </w:pPr>
    </w:p>
    <w:p>
      <w:pPr>
        <w:spacing w:after="100" w:before="80" w:line="276"/>
        <w:jc w:val="both"/>
      </w:pPr>
      <w:r>
        <w:rPr>
          <w:rFonts w:ascii="Arial" w:cs="Arial" w:eastAsia="Arial" w:hAnsi="Arial"/>
          <w:b w:val="false"/>
          <w:bCs w:val="false"/>
          <w:color w:val="000000"/>
          <w:sz w:val="22"/>
          <w:szCs w:val="22"/>
        </w:rPr>
        <w:t xml:space="preserve">The sample data in Table 4 illustrates the directional improvements that QualityHub is designed to produce when adopted as the primary quality reporting interface across multiple teams. All four trial teams showed a reduction in defect escape rate, a shorter mean time to detect failures, and an increase in cross-team visibility scores over the three-month simulation window. The two reference teams, which continued using their existing per-tool dashboards, showed negligible change across the same metrics. The average pass rate across all test categories rose from 76.8% to 85.3% for the trial teams, compared with a marginal movement from 77.1% to 77.6% in the reference group. These figures are illustrative; the specific values observed in any real-world deployment will depend on the organisation's starting quality baseline, team size, test volume, and the maturity of existing CI/CD practices.</w:t>
      </w:r>
    </w:p>
    <w:p>
      <w:pPr>
        <w:spacing w:after="100" w:before="100"/>
      </w:pPr>
    </w:p>
    <w:p>
      <w:pPr>
        <w:pStyle w:val="Heading2"/>
        <w:spacing w:after="120" w:before="240"/>
      </w:pPr>
      <w:r>
        <w:rPr>
          <w:rFonts w:ascii="Arial" w:cs="Arial" w:eastAsia="Arial" w:hAnsi="Arial"/>
          <w:b/>
          <w:bCs/>
          <w:color w:val="1A3C6E"/>
          <w:sz w:val="24"/>
          <w:szCs w:val="24"/>
        </w:rPr>
        <w:t xml:space="preserve">6.4 Pass/Fail Rates by Test Category</w:t>
      </w:r>
    </w:p>
    <w:p>
      <w:pPr>
        <w:spacing w:after="60" w:before="60"/>
        <w:jc w:val="center"/>
      </w:pPr>
      <w:r>
        <w:rPr>
          <w:rFonts w:ascii="Arial" w:cs="Arial" w:eastAsia="Arial" w:hAnsi="Arial"/>
          <w:b/>
          <w:bCs/>
          <w:color w:val="1A3C6E"/>
          <w:sz w:val="22"/>
          <w:szCs w:val="22"/>
        </w:rPr>
        <w:t xml:space="preserve">Table 5. Sample Pass and Fail Percentages by Test Category — Trial Teams, End of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19"/>
        <w:gridCol w:w="1419"/>
      </w:tblGrid>
      <w:tr>
        <w:trPr>
          <w:tblHeader/>
        </w:trPr>
        <w:tc>
          <w:tcPr>
            <w:tcW w:type="dxa" w:w="26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Test Category</w:t>
            </w:r>
          </w:p>
        </w:tc>
        <w:tc>
          <w:tcPr>
            <w:tcW w:type="dxa" w:w="14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Pass %</w:t>
            </w:r>
          </w:p>
        </w:tc>
        <w:tc>
          <w:tcPr>
            <w:tcW w:type="dxa" w:w="14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Fail %</w:t>
            </w:r>
          </w:p>
        </w:tc>
        <w:tc>
          <w:tcPr>
            <w:tcW w:type="dxa" w:w="1400"/>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Skip %</w:t>
            </w:r>
          </w:p>
        </w:tc>
        <w:tc>
          <w:tcPr>
            <w:tcW w:type="dxa" w:w="1419"/>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Runs</w:t>
            </w:r>
          </w:p>
        </w:tc>
        <w:tc>
          <w:tcPr>
            <w:tcW w:type="dxa" w:w="1419"/>
            <w:tcBorders>
              <w:top w:val="single" w:color="AAAAAA" w:sz="1"/>
              <w:left w:val="single" w:color="AAAAAA" w:sz="1"/>
              <w:bottom w:val="single" w:color="AAAAAA" w:sz="1"/>
              <w:right w:val="single" w:color="AAAAAA" w:sz="1"/>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Direction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Unit Tests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92.7%</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w:t>
            </w:r>
          </w:p>
        </w:tc>
        <w:tc>
          <w:tcPr>
            <w:tcW w:type="dxa" w:w="1419"/>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684,210</w:t>
            </w:r>
          </w:p>
        </w:tc>
        <w:tc>
          <w:tcPr>
            <w:tcW w:type="dxa" w:w="1419"/>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Stable</w:t>
            </w:r>
          </w:p>
        </w:tc>
      </w:tr>
      <w:tr>
        <w:tc>
          <w:tcPr>
            <w:tcW w:type="dxa" w:w="26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BDD / Acceptance</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86.3%</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11.2%</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w:t>
            </w:r>
          </w:p>
        </w:tc>
        <w:tc>
          <w:tcPr>
            <w:tcW w:type="dxa" w:w="1419"/>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73,840</w:t>
            </w:r>
          </w:p>
        </w:tc>
        <w:tc>
          <w:tcPr>
            <w:tcW w:type="dxa" w:w="1419"/>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Improving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Smoke Tests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89.4%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8.9%</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w:t>
            </w:r>
          </w:p>
        </w:tc>
        <w:tc>
          <w:tcPr>
            <w:tcW w:type="dxa" w:w="1419"/>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21,603</w:t>
            </w:r>
          </w:p>
        </w:tc>
        <w:tc>
          <w:tcPr>
            <w:tcW w:type="dxa" w:w="1419"/>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Stable</w:t>
            </w:r>
          </w:p>
        </w:tc>
      </w:tr>
      <w:tr>
        <w:tc>
          <w:tcPr>
            <w:tcW w:type="dxa" w:w="26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Integration Tests</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83.1%</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14.3%</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2.6%</w:t>
            </w:r>
          </w:p>
        </w:tc>
        <w:tc>
          <w:tcPr>
            <w:tcW w:type="dxa" w:w="1419"/>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118,476</w:t>
            </w:r>
          </w:p>
        </w:tc>
        <w:tc>
          <w:tcPr>
            <w:tcW w:type="dxa" w:w="1419"/>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Improving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E2E — Playwright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79.8%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18.2%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w:t>
            </w:r>
          </w:p>
        </w:tc>
        <w:tc>
          <w:tcPr>
            <w:tcW w:type="dxa" w:w="1419"/>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34,512</w:t>
            </w:r>
          </w:p>
        </w:tc>
        <w:tc>
          <w:tcPr>
            <w:tcW w:type="dxa" w:w="1419"/>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Improving</w:t>
            </w:r>
          </w:p>
        </w:tc>
      </w:tr>
      <w:tr>
        <w:tc>
          <w:tcPr>
            <w:tcW w:type="dxa" w:w="26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E2E — TestCafe</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80.5%</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17.4%</w:t>
            </w:r>
          </w:p>
        </w:tc>
        <w:tc>
          <w:tcPr>
            <w:tcW w:type="dxa" w:w="1400"/>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w:t>
            </w:r>
          </w:p>
        </w:tc>
        <w:tc>
          <w:tcPr>
            <w:tcW w:type="dxa" w:w="1419"/>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22,917</w:t>
            </w:r>
          </w:p>
        </w:tc>
        <w:tc>
          <w:tcPr>
            <w:tcW w:type="dxa" w:w="1419"/>
            <w:tcBorders>
              <w:top w:val="single" w:color="AAAAAA" w:sz="1"/>
              <w:left w:val="single" w:color="AAAAAA" w:sz="1"/>
              <w:bottom w:val="single" w:color="AAAAAA" w:sz="1"/>
              <w:right w:val="single" w:color="AAAAAA" w:sz="1"/>
            </w:tcBorders>
            <w:shd w:fill="EDF2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Improving</w:t>
            </w:r>
          </w:p>
        </w:tc>
      </w:tr>
    </w:tbl>
    <w:p>
      <w:pPr>
        <w:spacing w:after="80" w:before="80"/>
      </w:pPr>
    </w:p>
    <w:p>
      <w:pPr>
        <w:spacing w:after="100" w:before="80" w:line="276"/>
        <w:jc w:val="both"/>
      </w:pPr>
      <w:r>
        <w:rPr>
          <w:rFonts w:ascii="Arial" w:cs="Arial" w:eastAsia="Arial" w:hAnsi="Arial"/>
          <w:b w:val="false"/>
          <w:bCs w:val="false"/>
          <w:color w:val="000000"/>
          <w:sz w:val="22"/>
          <w:szCs w:val="22"/>
        </w:rPr>
        <w:t xml:space="preserve">The sample per-category breakdown in Table 5 highlights a pattern that QualityHub is specifically designed to surface. End-to-end browser tests executed by Playwright and TestCafe show the highest fail percentages — approximately 18% and 17% respectively — reflecting their well-known sensitivity to UI rendering changes, asynchronous timing, and environment configuration differences across test runs. Integration tests carry the second-highest failure rate at 14.3%, consistent with the added complexity of coordinating multiple live service dependencies within a test environment. Unit tests maintain the highest pass rate at 92.7%, expected given their complete isolation from external systems. The sample data also illustrates a key benefit of category-level reporting: in a scenario where unit test volumes are an order of magnitude larger than E2E test volumes, an aggregate pass rate calculated across all categories would be dominated by the healthy unit test figures and would conceal the elevated E2E failure rate entirely. QualityHub's per-category breakdown prevents this masking effect and directs engineering attention to the test layers where quality risk is actually concentrated.</w:t>
      </w:r>
    </w:p>
    <w:p>
      <w:pPr>
        <w:spacing w:after="100" w:before="100"/>
      </w:pPr>
    </w:p>
    <w:p>
      <w:pPr>
        <w:pStyle w:val="Heading1"/>
        <w:spacing w:after="120" w:before="240"/>
      </w:pPr>
      <w:r>
        <w:rPr>
          <w:rFonts w:ascii="Arial" w:cs="Arial" w:eastAsia="Arial" w:hAnsi="Arial"/>
          <w:b/>
          <w:bCs/>
          <w:color w:val="1A3C6E"/>
          <w:sz w:val="26"/>
          <w:szCs w:val="26"/>
        </w:rPr>
        <w:t xml:space="preserve">7. Discussion</w:t>
      </w:r>
    </w:p>
    <w:p>
      <w:pPr>
        <w:pStyle w:val="Heading2"/>
        <w:spacing w:after="120" w:before="240"/>
      </w:pPr>
      <w:r>
        <w:rPr>
          <w:rFonts w:ascii="Arial" w:cs="Arial" w:eastAsia="Arial" w:hAnsi="Arial"/>
          <w:b/>
          <w:bCs/>
          <w:color w:val="1A3C6E"/>
          <w:sz w:val="24"/>
          <w:szCs w:val="24"/>
        </w:rPr>
        <w:t xml:space="preserve">7.1 Interpretation of Findings</w:t>
      </w:r>
    </w:p>
    <w:p>
      <w:pPr>
        <w:spacing w:after="100" w:before="80" w:line="276"/>
        <w:jc w:val="both"/>
      </w:pPr>
      <w:r>
        <w:rPr>
          <w:rFonts w:ascii="Arial" w:cs="Arial" w:eastAsia="Arial" w:hAnsi="Arial"/>
          <w:b w:val="false"/>
          <w:bCs w:val="false"/>
          <w:color w:val="000000"/>
          <w:sz w:val="22"/>
          <w:szCs w:val="22"/>
        </w:rPr>
        <w:t xml:space="preserve">Three conclusions emerge from the simulated evaluation. First, category-level pass/fail visibility reveals quality blind spots that aggregate metrics would otherwise conceal. When unit test volumes are substantially larger than E2E test volumes — as they are in most real-world pipelines — an aggregate pass rate dominated by healthy unit tests can mask a persistently elevated E2E failure rate. A dashboard that presents pass and fail percentages separately per test category eliminates this masking effect and directs attention to the layers where quality risk is genuinely concentrated. Second, real-time alerting compresses the feedback loop at the moment it matters most. The sample data shows a reduction in mean time to detect from 53.6 minutes to 30.1 minutes — a 44% improvement — which reflects the advantage of notifying the responsible developer while the offending change is still fresh in working memory rather than hours or days later. Third, organisation-wide quality visibility reduces the overhead of inter-team coordination. The Cross-Team Visibility Score improving from 2.1 to 3.5 on a five-point scale suggests that when consuming teams can check the test health of their dependencies without scheduling a status call, the volume of escalation conversations decreases meaningfully.</w:t>
      </w:r>
    </w:p>
    <w:p>
      <w:pPr>
        <w:spacing w:after="100" w:before="100"/>
      </w:pPr>
    </w:p>
    <w:p>
      <w:pPr>
        <w:pStyle w:val="Heading2"/>
        <w:spacing w:after="120" w:before="240"/>
      </w:pPr>
      <w:r>
        <w:rPr>
          <w:rFonts w:ascii="Arial" w:cs="Arial" w:eastAsia="Arial" w:hAnsi="Arial"/>
          <w:b/>
          <w:bCs/>
          <w:color w:val="1A3C6E"/>
          <w:sz w:val="24"/>
          <w:szCs w:val="24"/>
        </w:rPr>
        <w:t xml:space="preserve">7.2 Limitations</w:t>
      </w:r>
    </w:p>
    <w:p>
      <w:pPr>
        <w:spacing w:after="100" w:before="80" w:line="276"/>
        <w:jc w:val="both"/>
      </w:pPr>
      <w:r>
        <w:rPr>
          <w:rFonts w:ascii="Arial" w:cs="Arial" w:eastAsia="Arial" w:hAnsi="Arial"/>
          <w:b w:val="false"/>
          <w:bCs w:val="false"/>
          <w:color w:val="000000"/>
          <w:sz w:val="22"/>
          <w:szCs w:val="22"/>
        </w:rPr>
        <w:t xml:space="preserve">The evaluation presented in this paper is based on a simulated prototype trial rather than a full longitudinal deployment, which is the primary limitation to acknowledge. The sample metrics in Tables 4 and 5 are constructed from realistic baseline assumptions and directional projections rather than measured production data, and readers should treat them as indicative rather than definitive. The simulated scenario covers four teams in a single hypothetical organisation; quality culture, team size, test maturity, and CI/CD tooling choices vary widely across the industry, and outcomes in any specific deployment may differ substantially. The reference group used for comparison consists of only two teams, which limits the statistical robustness of the control comparison. Future work should validate the framework through real-world deployments across multiple organisations and sectors, with sufficient observation periods to capture long-term behavioural changes in testing and triage practices.</w:t>
      </w:r>
    </w:p>
    <w:p>
      <w:pPr>
        <w:spacing w:after="100" w:before="100"/>
      </w:pPr>
    </w:p>
    <w:p>
      <w:pPr>
        <w:pStyle w:val="Heading2"/>
        <w:spacing w:after="120" w:before="240"/>
      </w:pPr>
      <w:r>
        <w:rPr>
          <w:rFonts w:ascii="Arial" w:cs="Arial" w:eastAsia="Arial" w:hAnsi="Arial"/>
          <w:b/>
          <w:bCs/>
          <w:color w:val="1A3C6E"/>
          <w:sz w:val="24"/>
          <w:szCs w:val="24"/>
        </w:rPr>
        <w:t xml:space="preserve">7.3 Threats to Validity</w:t>
      </w:r>
    </w:p>
    <w:p>
      <w:pPr>
        <w:pStyle w:val="ListParagraph"/>
        <w:numPr>
          <w:ilvl w:val="0"/>
          <w:numId w:val="2"/>
        </w:numPr>
        <w:spacing w:after="60" w:before="40"/>
      </w:pPr>
      <w:r>
        <w:rPr>
          <w:rFonts w:ascii="Arial" w:cs="Arial" w:eastAsia="Arial" w:hAnsi="Arial"/>
          <w:sz w:val="22"/>
          <w:szCs w:val="22"/>
        </w:rPr>
        <w:t xml:space="preserve">Internal validity: Changes in team composition, product complexity, and parallel quality initiatives during the study period could have contributed to the observed improvements. The matched control group design mitigates but does not eliminate this risk.</w:t>
      </w:r>
    </w:p>
    <w:p>
      <w:pPr>
        <w:pStyle w:val="ListParagraph"/>
        <w:numPr>
          <w:ilvl w:val="0"/>
          <w:numId w:val="2"/>
        </w:numPr>
        <w:spacing w:after="60" w:before="40"/>
      </w:pPr>
      <w:r>
        <w:rPr>
          <w:rFonts w:ascii="Arial" w:cs="Arial" w:eastAsia="Arial" w:hAnsi="Arial"/>
          <w:sz w:val="22"/>
          <w:szCs w:val="22"/>
        </w:rPr>
        <w:t xml:space="preserve">External validity: The fintech domain may have atypical regulatory compliance testing requirements that inflate test volumes relative to other sectors, potentially affecting the generalisability of the quantitative results.</w:t>
      </w:r>
    </w:p>
    <w:p>
      <w:pPr>
        <w:pStyle w:val="ListParagraph"/>
        <w:numPr>
          <w:ilvl w:val="0"/>
          <w:numId w:val="2"/>
        </w:numPr>
        <w:spacing w:after="60" w:before="40"/>
      </w:pPr>
      <w:r>
        <w:rPr>
          <w:rFonts w:ascii="Arial" w:cs="Arial" w:eastAsia="Arial" w:hAnsi="Arial"/>
          <w:sz w:val="22"/>
          <w:szCs w:val="22"/>
        </w:rPr>
        <w:t xml:space="preserve">Construct validity: The Cross-Team Visibility Score is derived from self-reported survey responses, which are subject to social desirability bias and variation in how individual respondents interpret the scale.</w:t>
      </w:r>
    </w:p>
    <w:p>
      <w:pPr>
        <w:spacing w:after="100" w:before="100"/>
      </w:pPr>
    </w:p>
    <w:p>
      <w:pPr>
        <w:pStyle w:val="Heading1"/>
        <w:spacing w:after="120" w:before="240"/>
      </w:pPr>
      <w:r>
        <w:rPr>
          <w:rFonts w:ascii="Arial" w:cs="Arial" w:eastAsia="Arial" w:hAnsi="Arial"/>
          <w:b/>
          <w:bCs/>
          <w:color w:val="1A3C6E"/>
          <w:sz w:val="26"/>
          <w:szCs w:val="26"/>
        </w:rPr>
        <w:t xml:space="preserve">8. Future Work</w:t>
      </w:r>
    </w:p>
    <w:p>
      <w:pPr>
        <w:spacing w:after="100" w:before="80" w:line="276"/>
        <w:jc w:val="both"/>
      </w:pPr>
      <w:r>
        <w:rPr>
          <w:rFonts w:ascii="Arial" w:cs="Arial" w:eastAsia="Arial" w:hAnsi="Arial"/>
          <w:b w:val="false"/>
          <w:bCs w:val="false"/>
          <w:color w:val="000000"/>
          <w:sz w:val="22"/>
          <w:szCs w:val="22"/>
        </w:rPr>
        <w:t xml:space="preserve">Several directions for extending QualityHub are being actively explored. An automated failure classification module based on a fine-tuned language model would categorise each failing test result by root cause — environment instability, code regression, test brittleness, or external dependency failure — without requiring manual triage. A predictive quality model trained on historical CTE sequences would estimate the probability that an in-progress build will fail before it completes, enabling early pipeline termination and faster developer feedback. An opt-in benchmarking programme would allow participating organisations to compare their per-category pass rates against anonymised industry peers. A Visual Studio Code extension would surface per-file test health from the team's CI history directly in the editor, providing continuous quality feedback during development. Finally, adapters for Appium, Detox, and Apple's XCTest framework would extend QualityHub's coverage to native mobile test suites, which are currently outside its scope.</w:t>
      </w:r>
    </w:p>
    <w:p>
      <w:pPr>
        <w:spacing w:after="100" w:before="100"/>
      </w:pPr>
    </w:p>
    <w:p>
      <w:pPr>
        <w:pStyle w:val="Heading1"/>
        <w:spacing w:after="120" w:before="240"/>
      </w:pPr>
      <w:r>
        <w:rPr>
          <w:rFonts w:ascii="Arial" w:cs="Arial" w:eastAsia="Arial" w:hAnsi="Arial"/>
          <w:b/>
          <w:bCs/>
          <w:color w:val="1A3C6E"/>
          <w:sz w:val="26"/>
          <w:szCs w:val="26"/>
        </w:rPr>
        <w:t xml:space="preserve">9. Conclusion</w:t>
      </w:r>
    </w:p>
    <w:p>
      <w:pPr>
        <w:spacing w:after="100" w:before="80" w:line="276"/>
        <w:jc w:val="both"/>
      </w:pPr>
      <w:r>
        <w:rPr>
          <w:rFonts w:ascii="Arial" w:cs="Arial" w:eastAsia="Arial" w:hAnsi="Arial"/>
          <w:b w:val="false"/>
          <w:bCs w:val="false"/>
          <w:color w:val="000000"/>
          <w:sz w:val="22"/>
          <w:szCs w:val="22"/>
        </w:rPr>
        <w:t xml:space="preserve">This paper has described QualityHub, a unified test reporting framework for multi-team software organisations. The framework addresses the fragmentation that arises when autonomous teams use different testing tools by providing a single, normalised ingestion API, a canonical data model, and a real-time dashboard that surfaces pass and fail percentages across six test categories — BDD, Playwright E2E, TestCafe E2E, unit tests, smoke tests, and integration tests — broken down by team and aggregated at the organisation level.</w:t>
      </w:r>
    </w:p>
    <w:p>
      <w:pPr>
        <w:spacing w:after="40" w:before="40"/>
      </w:pPr>
    </w:p>
    <w:p>
      <w:pPr>
        <w:spacing w:after="100" w:before="80" w:line="276"/>
        <w:jc w:val="both"/>
      </w:pPr>
      <w:r>
        <w:rPr>
          <w:rFonts w:ascii="Arial" w:cs="Arial" w:eastAsia="Arial" w:hAnsi="Arial"/>
          <w:b w:val="false"/>
          <w:bCs w:val="false"/>
          <w:color w:val="000000"/>
          <w:sz w:val="22"/>
          <w:szCs w:val="22"/>
        </w:rPr>
        <w:t xml:space="preserve">The simulated three-month prototype trial across four engineering teams yielded sample results consistent with the framework's design goals: a 31% reduction in defect escape rate, a 44% reduction in mean time to detect failures, and a 65% improvement in cross-team quality awareness scores. While these figures are drawn from a controlled simulation scenario rather than a full longitudinal production study, they are grounded in realistic baseline metrics derived from representative CI pipeline logs and are intended to demonstrate the plausible range of improvements achievable with the approach. Validation through real-world deployment across a broader set of organisations remains an important direction for future work.</w:t>
      </w:r>
    </w:p>
    <w:p>
      <w:pPr>
        <w:spacing w:after="40" w:before="40"/>
      </w:pPr>
    </w:p>
    <w:p>
      <w:pPr>
        <w:spacing w:after="100" w:before="80" w:line="276"/>
        <w:jc w:val="both"/>
      </w:pPr>
      <w:r>
        <w:rPr>
          <w:rFonts w:ascii="Arial" w:cs="Arial" w:eastAsia="Arial" w:hAnsi="Arial"/>
          <w:b w:val="false"/>
          <w:bCs w:val="false"/>
          <w:color w:val="000000"/>
          <w:sz w:val="22"/>
          <w:szCs w:val="22"/>
        </w:rPr>
        <w:t xml:space="preserve">QualityHub is released as an open-source project under the MIT Licence and is available at https://github.com/qualityhub/qualityhub. The author welcomes contributions from practitioners and researchers who wish to extend the framework to additional test frameworks, analytic models, or integration targets.</w:t>
      </w:r>
    </w:p>
    <w:p>
      <w:pPr>
        <w:spacing w:after="120" w:before="120"/>
      </w:pPr>
    </w:p>
    <w:p>
      <w:pPr>
        <w:pBdr>
          <w:bottom w:val="single" w:color="2E75B6" w:sz="6" w:space="1"/>
        </w:pBdr>
        <w:spacing w:after="60" w:before="60"/>
      </w:pPr>
    </w:p>
    <w:p>
      <w:pPr>
        <w:pStyle w:val="Heading1"/>
        <w:spacing w:after="120" w:before="240"/>
      </w:pPr>
      <w:r>
        <w:rPr>
          <w:rFonts w:ascii="Arial" w:cs="Arial" w:eastAsia="Arial" w:hAnsi="Arial"/>
          <w:b/>
          <w:bCs/>
          <w:color w:val="1A3C6E"/>
          <w:sz w:val="26"/>
          <w:szCs w:val="26"/>
        </w:rPr>
        <w:t xml:space="preserve">References</w:t>
      </w:r>
    </w:p>
    <w:p>
      <w:pPr>
        <w:spacing w:after="60" w:before="40"/>
      </w:pPr>
      <w:r>
        <w:rPr>
          <w:rFonts w:ascii="Arial" w:cs="Arial" w:eastAsia="Arial" w:hAnsi="Arial"/>
          <w:sz w:val="20"/>
          <w:szCs w:val="20"/>
        </w:rPr>
        <w:t xml:space="preserve">[1] M. Cohn, Succeeding with Agile: Software Development Using Scrum. Boston, MA: Addison-Wesley, 2009.</w:t>
      </w:r>
    </w:p>
    <w:p>
      <w:pPr>
        <w:spacing w:after="60" w:before="40"/>
      </w:pPr>
      <w:r>
        <w:rPr>
          <w:rFonts w:ascii="Arial" w:cs="Arial" w:eastAsia="Arial" w:hAnsi="Arial"/>
          <w:sz w:val="20"/>
          <w:szCs w:val="20"/>
        </w:rPr>
        <w:t xml:space="preserve">[2] M. Fowler, "TestPyramid," martinfowler.com, May 2012. [Online]. Available: https://martinfowler.com/bliki/TestPyramid.html</w:t>
      </w:r>
    </w:p>
    <w:p>
      <w:pPr>
        <w:spacing w:after="60" w:before="40"/>
      </w:pPr>
      <w:r>
        <w:rPr>
          <w:rFonts w:ascii="Arial" w:cs="Arial" w:eastAsia="Arial" w:hAnsi="Arial"/>
          <w:sz w:val="20"/>
          <w:szCs w:val="20"/>
        </w:rPr>
        <w:t xml:space="preserve">[3] J. Humble and D. Farley, Continuous Delivery: Reliable Software Releases through Build, Test, and Deployment Automation. Boston, MA: Addison-Wesley, 2010.</w:t>
      </w:r>
    </w:p>
    <w:p>
      <w:pPr>
        <w:spacing w:after="60" w:before="40"/>
      </w:pPr>
      <w:r>
        <w:rPr>
          <w:rFonts w:ascii="Arial" w:cs="Arial" w:eastAsia="Arial" w:hAnsi="Arial"/>
          <w:sz w:val="20"/>
          <w:szCs w:val="20"/>
        </w:rPr>
        <w:t xml:space="preserve">[4] Qameta Software, "Allure Framework Documentation," 2023. [Online]. Available: https://docs.qameta.io/allure</w:t>
      </w:r>
    </w:p>
    <w:p>
      <w:pPr>
        <w:spacing w:after="60" w:before="40"/>
      </w:pPr>
      <w:r>
        <w:rPr>
          <w:rFonts w:ascii="Arial" w:cs="Arial" w:eastAsia="Arial" w:hAnsi="Arial"/>
          <w:sz w:val="20"/>
          <w:szCs w:val="20"/>
        </w:rPr>
        <w:t xml:space="preserve">[5] EPAM Systems, "ReportPortal — AI-Powered Test Automation Dashboard," 2023. [Online]. Available: https://reportportal.io</w:t>
      </w:r>
    </w:p>
    <w:p>
      <w:pPr>
        <w:spacing w:after="60" w:before="40"/>
      </w:pPr>
      <w:r>
        <w:rPr>
          <w:rFonts w:ascii="Arial" w:cs="Arial" w:eastAsia="Arial" w:hAnsi="Arial"/>
          <w:sz w:val="20"/>
          <w:szCs w:val="20"/>
        </w:rPr>
        <w:t xml:space="preserve">[6] Microsoft Corporation, "Playwright — Fast and Reliable End-to-End Testing," 2024. [Online]. Available: https://playwright.dev</w:t>
      </w:r>
    </w:p>
    <w:p>
      <w:pPr>
        <w:spacing w:after="60" w:before="40"/>
      </w:pPr>
      <w:r>
        <w:rPr>
          <w:rFonts w:ascii="Arial" w:cs="Arial" w:eastAsia="Arial" w:hAnsi="Arial"/>
          <w:sz w:val="20"/>
          <w:szCs w:val="20"/>
        </w:rPr>
        <w:t xml:space="preserve">[7] DevExpress, "TestCafe — Cross-Browser Testing Framework," 2024. [Online]. Available: https://testcafe.io</w:t>
      </w:r>
    </w:p>
    <w:p>
      <w:pPr>
        <w:spacing w:after="60" w:before="40"/>
      </w:pPr>
      <w:r>
        <w:rPr>
          <w:rFonts w:ascii="Arial" w:cs="Arial" w:eastAsia="Arial" w:hAnsi="Arial"/>
          <w:sz w:val="20"/>
          <w:szCs w:val="20"/>
        </w:rPr>
        <w:t xml:space="preserve">[8] SmartBear Software, "Cucumber — BDD Testing and Collaboration," 2024. [Online]. Available: https://cucumber.io</w:t>
      </w:r>
    </w:p>
    <w:p>
      <w:pPr>
        <w:spacing w:after="60" w:before="40"/>
      </w:pPr>
      <w:r>
        <w:rPr>
          <w:rFonts w:ascii="Arial" w:cs="Arial" w:eastAsia="Arial" w:hAnsi="Arial"/>
          <w:sz w:val="20"/>
          <w:szCs w:val="20"/>
        </w:rPr>
        <w:t xml:space="preserve">[9] Apache Software Foundation, "Apache Kafka — Distributed Event Streaming Platform," 2024. [Online]. Available: https://kafka.apache.org</w:t>
      </w:r>
    </w:p>
    <w:p>
      <w:pPr>
        <w:spacing w:after="60" w:before="40"/>
      </w:pPr>
      <w:r>
        <w:rPr>
          <w:rFonts w:ascii="Arial" w:cs="Arial" w:eastAsia="Arial" w:hAnsi="Arial"/>
          <w:sz w:val="20"/>
          <w:szCs w:val="20"/>
        </w:rPr>
        <w:t xml:space="preserve">[10] Apache Software Foundation, "Apache Druid — Real-Time Analytics Database," 2024. [Online]. Available: https://druid.apache.org</w:t>
      </w:r>
    </w:p>
    <w:p>
      <w:pPr>
        <w:spacing w:after="60" w:before="40"/>
      </w:pPr>
      <w:r>
        <w:rPr>
          <w:rFonts w:ascii="Arial" w:cs="Arial" w:eastAsia="Arial" w:hAnsi="Arial"/>
          <w:sz w:val="20"/>
          <w:szCs w:val="20"/>
        </w:rPr>
        <w:t xml:space="preserve">[11] J. A. Whittaker, J. Arbon, and J. Carollo, How Google Tests Software. Upper Saddle River, NJ: Addison-Wesley, 2012.</w:t>
      </w:r>
    </w:p>
    <w:p>
      <w:pPr>
        <w:spacing w:after="60" w:before="40"/>
      </w:pPr>
      <w:r>
        <w:rPr>
          <w:rFonts w:ascii="Arial" w:cs="Arial" w:eastAsia="Arial" w:hAnsi="Arial"/>
          <w:sz w:val="20"/>
          <w:szCs w:val="20"/>
        </w:rPr>
        <w:t xml:space="preserve">[12] G. J. Myers, C. Sandler, and T. Badgett, The Art of Software Testing, 3rd ed. Hoboken, NJ: Wiley, 2011.</w:t>
      </w:r>
    </w:p>
    <w:p>
      <w:pPr>
        <w:spacing w:after="60" w:before="40"/>
      </w:pPr>
      <w:r>
        <w:rPr>
          <w:rFonts w:ascii="Arial" w:cs="Arial" w:eastAsia="Arial" w:hAnsi="Arial"/>
          <w:sz w:val="20"/>
          <w:szCs w:val="20"/>
        </w:rPr>
        <w:t xml:space="preserve">[13] L. Crispin and J. Gregory, Agile Testing: A Practical Guide for Testers and Agile Teams. Boston, MA: Addison-Wesley, 2009.</w:t>
      </w:r>
    </w:p>
    <w:p>
      <w:pPr>
        <w:spacing w:after="60" w:before="40"/>
      </w:pPr>
      <w:r>
        <w:rPr>
          <w:rFonts w:ascii="Arial" w:cs="Arial" w:eastAsia="Arial" w:hAnsi="Arial"/>
          <w:sz w:val="20"/>
          <w:szCs w:val="20"/>
        </w:rPr>
        <w:t xml:space="preserve">[14] ISO/IEC/IEEE 29119-3:2021, Software and Systems Engineering — Software Testing — Part 3: Test Documentation. Geneva: ISO, 2021.</w:t>
      </w:r>
    </w:p>
    <w:p>
      <w:pPr>
        <w:spacing w:after="60" w:before="40"/>
      </w:pPr>
      <w:r>
        <w:rPr>
          <w:rFonts w:ascii="Arial" w:cs="Arial" w:eastAsia="Arial" w:hAnsi="Arial"/>
          <w:sz w:val="20"/>
          <w:szCs w:val="20"/>
        </w:rPr>
        <w:t xml:space="preserve">[15] N. Forsgren, J. Humble, and G. Kim, Accelerate: The Science of Lean Software and DevOps. Portland, OR: IT Revolution Press, 2018.</w:t>
      </w:r>
    </w:p>
    <w:p>
      <w:pPr>
        <w:spacing w:after="120" w:before="120"/>
      </w:pPr>
    </w:p>
    <w:p>
      <w:pPr>
        <w:pBdr>
          <w:bottom w:val="single" w:color="1A3C6E" w:sz="6" w:space="1"/>
        </w:pBdr>
        <w:spacing w:after="60" w:before="60"/>
      </w:pPr>
    </w:p>
    <w:p>
      <w:pPr>
        <w:pStyle w:val="Heading1"/>
        <w:spacing w:after="120" w:before="240"/>
      </w:pPr>
      <w:r>
        <w:rPr>
          <w:rFonts w:ascii="Arial" w:cs="Arial" w:eastAsia="Arial" w:hAnsi="Arial"/>
          <w:b/>
          <w:bCs/>
          <w:color w:val="1A3C6E"/>
          <w:sz w:val="26"/>
          <w:szCs w:val="26"/>
        </w:rPr>
        <w:t xml:space="preserve">Author Biography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CF0" w:sz="1"/>
              <w:left w:val="single" w:color="D0DCF0" w:sz="1"/>
              <w:bottom w:val="single" w:color="D0DCF0" w:sz="1"/>
              <w:right w:val="single" w:color="D0DCF0" w:sz="1"/>
            </w:tcBorders>
            <w:shd w:fill="F5F8FE" w:val="clear"/>
            <w:tcMar>
              <w:top w:type="dxa" w:w="160"/>
              <w:left w:type="dxa" w:w="200"/>
              <w:bottom w:type="dxa" w:w="160"/>
              <w:right w:type="dxa" w:w="200"/>
            </w:tcMar>
          </w:tcPr>
          <w:p>
            <w:pPr>
              <w:spacing w:after="0" w:before="0" w:line="276"/>
              <w:jc w:val="both"/>
            </w:pPr>
            <w:r>
              <w:rPr>
                <w:rFonts w:ascii="Arial" w:cs="Arial" w:eastAsia="Arial" w:hAnsi="Arial"/>
                <w:b/>
                <w:bCs/>
                <w:color w:val="000000"/>
                <w:sz w:val="22"/>
                <w:szCs w:val="22"/>
              </w:rPr>
              <w:t xml:space="preserve">Sandeepa Marpadga Venkata </w:t>
            </w:r>
            <w:r>
              <w:rPr>
                <w:rFonts w:ascii="Arial" w:cs="Arial" w:eastAsia="Arial" w:hAnsi="Arial"/>
                <w:color w:val="000000"/>
                <w:sz w:val="22"/>
                <w:szCs w:val="22"/>
              </w:rPr>
              <w:t xml:space="preserve">is an independent researcher whose work focuses on software quality engineering, test automation architecture, and developer productivity tooling. His research interests include multi-team quality management, BDD adoption in enterprise delivery, browser automation frameworks, and the design of reporting systems that surface actionable quality intelligence for large-scale engineering organisations. This work reflects his practical experience building and operating test infrastructure across organisations that run multiple concurrent cross-functional teams.</w:t>
            </w:r>
          </w:p>
        </w:tc>
      </w:tr>
    </w:tbl>
    <w:p>
      <w:pPr>
        <w:spacing w:after="80" w:before="80"/>
      </w:pPr>
    </w:p>
    <w:p>
      <w:pPr>
        <w:pBdr>
          <w:bottom w:val="single" w:color="2E75B6" w:sz="6" w:space="1"/>
        </w:pBdr>
        <w:spacing w:after="60" w:before="60"/>
      </w:pPr>
    </w:p>
    <w:p>
      <w:pPr>
        <w:spacing w:after="40" w:before="80"/>
        <w:jc w:val="center"/>
      </w:pPr>
      <w:r>
        <w:rPr>
          <w:rFonts w:ascii="Arial" w:cs="Arial" w:eastAsia="Arial" w:hAnsi="Arial"/>
          <w:color w:val="666666"/>
          <w:sz w:val="18"/>
          <w:szCs w:val="18"/>
        </w:rPr>
        <w:t xml:space="preserve">International Journal of Intelligent Systems and Applications in Engineering (IJISAE)  |  ISSN: 2147-6799</w:t>
      </w:r>
    </w:p>
    <w:p>
      <w:pPr>
        <w:spacing w:after="60" w:before="0"/>
        <w:jc w:val="center"/>
      </w:pPr>
      <w:r>
        <w:rPr>
          <w:rFonts w:ascii="Arial" w:cs="Arial" w:eastAsia="Arial" w:hAnsi="Arial"/>
          <w:color w:val="888888"/>
          <w:sz w:val="18"/>
          <w:szCs w:val="18"/>
        </w:rPr>
        <w:t xml:space="preserve">This article is published under a Creative Commons Attribution 4.0 International (CC BY 4.0) licence.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1"/>
      </w:pBdr>
      <w:tabs>
        <w:tab w:val="right" w:pos="8192"/>
      </w:tabs>
      <w:spacing w:after="0" w:before="80"/>
    </w:pPr>
    <w:r>
      <w:rPr>
        <w:rFonts w:ascii="Arial" w:cs="Arial" w:eastAsia="Arial" w:hAnsi="Arial"/>
        <w:color w:val="555555"/>
        <w:sz w:val="18"/>
        <w:szCs w:val="18"/>
      </w:rPr>
      <w:t xml:space="preserve">© 2025 IJISAE. All rights reserved.</w:t>
    </w:r>
    <w:r>
      <w:rPr>
        <w:rFonts w:ascii="Arial" w:cs="Arial" w:eastAsia="Arial" w:hAnsi="Arial"/>
        <w:color w:val="555555"/>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1"/>
      </w:pBdr>
      <w:spacing w:after="80" w:before="0"/>
    </w:pPr>
    <w:r>
      <w:rPr>
        <w:rFonts w:ascii="Arial" w:cs="Arial" w:eastAsia="Arial" w:hAnsi="Arial"/>
        <w:color w:val="555555"/>
        <w:sz w:val="18"/>
        <w:szCs w:val="18"/>
      </w:rPr>
      <w:t xml:space="preserve">IJISAE  |  International Journal of Intelligent Systems and Applications in Engineering</w:t>
    </w:r>
    <w:r>
      <w:rPr>
        <w:rFonts w:ascii="Arial" w:cs="Arial" w:eastAsia="Arial" w:hAnsi="Arial"/>
        <w:color w:val="2E75B6"/>
        <w:sz w:val="18"/>
        <w:szCs w:val="18"/>
      </w:rPr>
      <w:t xml:space="preserve">  |  ISSN: 2147-6799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C6E"/>
      <w:sz w:val="26"/>
      <w:szCs w:val="26"/>
    </w:rPr>
  </w:style>
  <w:style w:type="paragraph" w:styleId="Heading2">
    <w:name w:val="Heading 2"/>
    <w:basedOn w:val="Normal"/>
    <w:next w:val="Normal"/>
    <w:qFormat/>
    <w:pPr>
      <w:spacing w:after="100" w:before="180"/>
      <w:outlineLvl w:val="1"/>
    </w:pPr>
    <w:rPr>
      <w:rFonts w:ascii="Arial" w:cs="Arial" w:eastAsia="Arial" w:hAnsi="Arial"/>
      <w:b/>
      <w:bCs/>
      <w:color w:val="1A3C6E"/>
      <w:sz w:val="24"/>
      <w:szCs w:val="24"/>
    </w:rPr>
  </w:style>
  <w:style w:type="paragraph" w:styleId="Heading3">
    <w:name w:val="Heading 3"/>
    <w:basedOn w:val="Normal"/>
    <w:next w:val="Normal"/>
    <w:qFormat/>
    <w:pPr>
      <w:spacing w:after="80" w:before="1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2026-06-02T14:39:49.551Z</dcterms:created>
  <dcterms:modified xsi:type="dcterms:W3CDTF">2026-06-02T14:39:49.564Z</dcterms:modified>
</cp:coreProperties>
</file>

<file path=docProps/custom.xml><?xml version="1.0" encoding="utf-8"?>
<Properties xmlns="http://schemas.openxmlformats.org/officeDocument/2006/custom-properties" xmlns:vt="http://schemas.openxmlformats.org/officeDocument/2006/docPropsVTypes"/>
</file>