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Quality Contract</w:t>
      </w:r>
    </w:p>
    <w:p>
      <w:r>
        <w:t>Project: E-commerce KPI Monitoring</w:t>
      </w:r>
    </w:p>
    <w:p>
      <w:r>
        <w:t>Decision Owner: Head of E-commerce / Sales Manager</w:t>
      </w:r>
    </w:p>
    <w:p>
      <w:r>
        <w:t>Purpose: Define measurable rules for trustworthy KPI reporting and specify actions when quality thresholds fail.</w:t>
      </w:r>
    </w:p>
    <w:p>
      <w:pPr>
        <w:pStyle w:val="Heading1"/>
      </w:pPr>
      <w:r>
        <w:t>1. Dataset Definition</w:t>
      </w:r>
    </w:p>
    <w:p>
      <w:r>
        <w:t>Dataset: Sample E-commerce Sales Dataset. Grain: one row per order. Primary key: Order_ID. The dataset supports sales, customer, delivery, return, cancellation and profitability KPIs.</w:t>
      </w:r>
    </w:p>
    <w:p>
      <w:pPr>
        <w:pStyle w:val="Heading1"/>
      </w:pPr>
      <w:r>
        <w:t>2. Quality Rules and Thresholds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Threshold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</w:tr>
      <w:tr>
        <w:tc>
          <w:tcPr>
            <w:tcW w:type="dxa" w:w="1728"/>
          </w:tcPr>
          <w:p>
            <w:r>
              <w:t>Completeness</w:t>
            </w:r>
          </w:p>
        </w:tc>
        <w:tc>
          <w:tcPr>
            <w:tcW w:type="dxa" w:w="1728"/>
          </w:tcPr>
          <w:p>
            <w:r>
              <w:t>Required fields are populated</w:t>
            </w:r>
          </w:p>
        </w:tc>
        <w:tc>
          <w:tcPr>
            <w:tcW w:type="dxa" w:w="1728"/>
          </w:tcPr>
          <w:p>
            <w:r>
              <w:t>≥ 98%</w:t>
            </w:r>
          </w:p>
        </w:tc>
        <w:tc>
          <w:tcPr>
            <w:tcW w:type="dxa" w:w="1728"/>
          </w:tcPr>
          <w:p>
            <w:r>
              <w:t>Data Owner</w:t>
            </w:r>
          </w:p>
        </w:tc>
        <w:tc>
          <w:tcPr>
            <w:tcW w:type="dxa" w:w="1728"/>
          </w:tcPr>
          <w:p>
            <w:r>
              <w:t>Create incident; stop affected KPI if critical</w:t>
            </w:r>
          </w:p>
        </w:tc>
      </w:tr>
      <w:tr>
        <w:tc>
          <w:tcPr>
            <w:tcW w:type="dxa" w:w="1728"/>
          </w:tcPr>
          <w:p>
            <w:r>
              <w:t>Uniqueness</w:t>
            </w:r>
          </w:p>
        </w:tc>
        <w:tc>
          <w:tcPr>
            <w:tcW w:type="dxa" w:w="1728"/>
          </w:tcPr>
          <w:p>
            <w:r>
              <w:t>Order_ID is unique</w:t>
            </w:r>
          </w:p>
        </w:tc>
        <w:tc>
          <w:tcPr>
            <w:tcW w:type="dxa" w:w="1728"/>
          </w:tcPr>
          <w:p>
            <w:r>
              <w:t>≥ 99.5%</w:t>
            </w:r>
          </w:p>
        </w:tc>
        <w:tc>
          <w:tcPr>
            <w:tcW w:type="dxa" w:w="1728"/>
          </w:tcPr>
          <w:p>
            <w:r>
              <w:t>Data Owner</w:t>
            </w:r>
          </w:p>
        </w:tc>
        <w:tc>
          <w:tcPr>
            <w:tcW w:type="dxa" w:w="1728"/>
          </w:tcPr>
          <w:p>
            <w:r>
              <w:t>Investigate duplicate source records</w:t>
            </w:r>
          </w:p>
        </w:tc>
      </w:tr>
      <w:tr>
        <w:tc>
          <w:tcPr>
            <w:tcW w:type="dxa" w:w="1728"/>
          </w:tcPr>
          <w:p>
            <w:r>
              <w:t>Validity</w:t>
            </w:r>
          </w:p>
        </w:tc>
        <w:tc>
          <w:tcPr>
            <w:tcW w:type="dxa" w:w="1728"/>
          </w:tcPr>
          <w:p>
            <w:r>
              <w:t>Quantity &gt; 0, Revenue ≥ 0, approved Status and valid dates</w:t>
            </w:r>
          </w:p>
        </w:tc>
        <w:tc>
          <w:tcPr>
            <w:tcW w:type="dxa" w:w="1728"/>
          </w:tcPr>
          <w:p>
            <w:r>
              <w:t>≥ 99%</w:t>
            </w:r>
          </w:p>
        </w:tc>
        <w:tc>
          <w:tcPr>
            <w:tcW w:type="dxa" w:w="1728"/>
          </w:tcPr>
          <w:p>
            <w:r>
              <w:t>Data Engineering</w:t>
            </w:r>
          </w:p>
        </w:tc>
        <w:tc>
          <w:tcPr>
            <w:tcW w:type="dxa" w:w="1728"/>
          </w:tcPr>
          <w:p>
            <w:r>
              <w:t>Correct source/transformation and rerun checks</w:t>
            </w:r>
          </w:p>
        </w:tc>
      </w:tr>
      <w:tr>
        <w:tc>
          <w:tcPr>
            <w:tcW w:type="dxa" w:w="1728"/>
          </w:tcPr>
          <w:p>
            <w:r>
              <w:t>Consistency</w:t>
            </w:r>
          </w:p>
        </w:tc>
        <w:tc>
          <w:tcPr>
            <w:tcW w:type="dxa" w:w="1728"/>
          </w:tcPr>
          <w:p>
            <w:r>
              <w:t>Dates, revenue arithmetic and status agree</w:t>
            </w:r>
          </w:p>
        </w:tc>
        <w:tc>
          <w:tcPr>
            <w:tcW w:type="dxa" w:w="1728"/>
          </w:tcPr>
          <w:p>
            <w:r>
              <w:t>≥ 98%</w:t>
            </w:r>
          </w:p>
        </w:tc>
        <w:tc>
          <w:tcPr>
            <w:tcW w:type="dxa" w:w="1728"/>
          </w:tcPr>
          <w:p>
            <w:r>
              <w:t>Data Engineering</w:t>
            </w:r>
          </w:p>
        </w:tc>
        <w:tc>
          <w:tcPr>
            <w:tcW w:type="dxa" w:w="1728"/>
          </w:tcPr>
          <w:p>
            <w:r>
              <w:t>Reconcile affected records</w:t>
            </w:r>
          </w:p>
        </w:tc>
      </w:tr>
      <w:tr>
        <w:tc>
          <w:tcPr>
            <w:tcW w:type="dxa" w:w="1728"/>
          </w:tcPr>
          <w:p>
            <w:r>
              <w:t>Freshness</w:t>
            </w:r>
          </w:p>
        </w:tc>
        <w:tc>
          <w:tcPr>
            <w:tcW w:type="dxa" w:w="1728"/>
          </w:tcPr>
          <w:p>
            <w:r>
              <w:t>Latest expected data is available</w:t>
            </w:r>
          </w:p>
        </w:tc>
        <w:tc>
          <w:tcPr>
            <w:tcW w:type="dxa" w:w="1728"/>
          </w:tcPr>
          <w:p>
            <w:r>
              <w:t>≤ 24 hours</w:t>
            </w:r>
          </w:p>
        </w:tc>
        <w:tc>
          <w:tcPr>
            <w:tcW w:type="dxa" w:w="1728"/>
          </w:tcPr>
          <w:p>
            <w:r>
              <w:t>Data Engineering</w:t>
            </w:r>
          </w:p>
        </w:tc>
        <w:tc>
          <w:tcPr>
            <w:tcW w:type="dxa" w:w="1728"/>
          </w:tcPr>
          <w:p>
            <w:r>
              <w:t>Escalate immediately if stale</w:t>
            </w:r>
          </w:p>
        </w:tc>
      </w:tr>
    </w:tbl>
    <w:p>
      <w:pPr>
        <w:pStyle w:val="Heading1"/>
      </w:pPr>
      <w:r>
        <w:t>3. Failure Handling</w:t>
      </w:r>
    </w:p>
    <w:p>
      <w:pPr>
        <w:pStyle w:val="ListBullet"/>
      </w:pPr>
      <w:r>
        <w:t>PASS: Publish KPI results when all critical quality checks meet their thresholds.</w:t>
      </w:r>
    </w:p>
    <w:p>
      <w:pPr>
        <w:pStyle w:val="ListBullet"/>
      </w:pPr>
      <w:r>
        <w:t>WARNING: If a non-critical rule is close to its threshold, document the issue and monitor the next refresh.</w:t>
      </w:r>
    </w:p>
    <w:p>
      <w:pPr>
        <w:pStyle w:val="ListBullet"/>
      </w:pPr>
      <w:r>
        <w:t>FAIL: Do not publish affected KPI results as trusted figures. Notify the responsible owner and create a data-quality incident.</w:t>
      </w:r>
    </w:p>
    <w:p>
      <w:pPr>
        <w:pStyle w:val="ListBullet"/>
      </w:pPr>
      <w:r>
        <w:t>CRITICAL: If a failure can materially change a business decision, notify the decision owner before reporting or acting on the KPI.</w:t>
      </w:r>
    </w:p>
    <w:p>
      <w:pPr>
        <w:pStyle w:val="Heading1"/>
      </w:pPr>
      <w:r>
        <w:t>4. Refresh and Review</w:t>
      </w:r>
    </w:p>
    <w:p>
      <w:r>
        <w:t>Sales and operations KPIs refresh daily. Customer and profitability summaries refresh weekly. The data owner reviews failed checks after each refresh, while the decision owner receives escalations for critical failures.</w:t>
      </w:r>
    </w:p>
    <w:p>
      <w:pPr>
        <w:pStyle w:val="Heading1"/>
      </w:pPr>
      <w:r>
        <w:t>5. Acceptance Criteria</w:t>
      </w:r>
    </w:p>
    <w:p>
      <w:r>
        <w:t>The contract is considered satisfied when completeness is at least 98%, uniqueness at least 99.5%, validity at least 99%, consistency at least 98%, and freshness is within 24 hours, with documented exceptions and escalation for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