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734E4" w14:textId="36BAA82C" w:rsidR="002E7387" w:rsidRPr="004F0ABA" w:rsidRDefault="002E7387" w:rsidP="00B37F2D">
      <w:pPr>
        <w:spacing w:line="360" w:lineRule="auto"/>
        <w:rPr>
          <w:rFonts w:ascii="Times New Roman" w:hAnsi="Times New Roman" w:cs="Times New Roman"/>
          <w:b/>
          <w:bCs/>
          <w:sz w:val="32"/>
          <w:szCs w:val="32"/>
        </w:rPr>
      </w:pPr>
      <w:r w:rsidRPr="004F0ABA">
        <w:rPr>
          <w:rFonts w:ascii="Times New Roman" w:hAnsi="Times New Roman" w:cs="Times New Roman"/>
          <w:b/>
          <w:bCs/>
          <w:sz w:val="32"/>
          <w:szCs w:val="32"/>
        </w:rPr>
        <w:t>Price Surge Forecasting - Market Volatility Analysis (Tariffs)</w:t>
      </w:r>
    </w:p>
    <w:p w14:paraId="151E117E" w14:textId="652F299A" w:rsidR="00D914B6" w:rsidRPr="004F0ABA" w:rsidRDefault="002E7387" w:rsidP="00B37F2D">
      <w:pPr>
        <w:spacing w:line="360" w:lineRule="auto"/>
        <w:rPr>
          <w:rFonts w:ascii="Times New Roman" w:hAnsi="Times New Roman" w:cs="Times New Roman"/>
          <w:b/>
          <w:bCs/>
          <w:sz w:val="28"/>
          <w:szCs w:val="28"/>
        </w:rPr>
      </w:pPr>
      <w:r w:rsidRPr="004F0ABA">
        <w:rPr>
          <w:rFonts w:ascii="Times New Roman" w:hAnsi="Times New Roman" w:cs="Times New Roman"/>
          <w:b/>
          <w:bCs/>
          <w:sz w:val="28"/>
          <w:szCs w:val="28"/>
        </w:rPr>
        <w:t xml:space="preserve">Sandeep Dasari, </w:t>
      </w:r>
      <w:proofErr w:type="spellStart"/>
      <w:r w:rsidRPr="004F0ABA">
        <w:rPr>
          <w:rFonts w:ascii="Times New Roman" w:hAnsi="Times New Roman" w:cs="Times New Roman"/>
          <w:b/>
          <w:bCs/>
          <w:sz w:val="28"/>
          <w:szCs w:val="28"/>
        </w:rPr>
        <w:t>Yiyao</w:t>
      </w:r>
      <w:proofErr w:type="spellEnd"/>
      <w:r w:rsidRPr="004F0ABA">
        <w:rPr>
          <w:rFonts w:ascii="Times New Roman" w:hAnsi="Times New Roman" w:cs="Times New Roman"/>
          <w:b/>
          <w:bCs/>
          <w:sz w:val="28"/>
          <w:szCs w:val="28"/>
        </w:rPr>
        <w:t xml:space="preserve"> </w:t>
      </w:r>
      <w:proofErr w:type="spellStart"/>
      <w:r w:rsidRPr="004F0ABA">
        <w:rPr>
          <w:rFonts w:ascii="Times New Roman" w:hAnsi="Times New Roman" w:cs="Times New Roman"/>
          <w:b/>
          <w:bCs/>
          <w:sz w:val="28"/>
          <w:szCs w:val="28"/>
        </w:rPr>
        <w:t>Zaho</w:t>
      </w:r>
      <w:proofErr w:type="spellEnd"/>
    </w:p>
    <w:p w14:paraId="6BF71EB4" w14:textId="77777777" w:rsidR="00D914B6" w:rsidRPr="004F0ABA" w:rsidRDefault="00D914B6" w:rsidP="00B37F2D">
      <w:pPr>
        <w:spacing w:line="360" w:lineRule="auto"/>
        <w:rPr>
          <w:rFonts w:ascii="Times New Roman" w:hAnsi="Times New Roman" w:cs="Times New Roman"/>
          <w:b/>
          <w:bCs/>
        </w:rPr>
      </w:pPr>
    </w:p>
    <w:p w14:paraId="19106739" w14:textId="7127A1B9" w:rsidR="00D914B6" w:rsidRPr="004F0ABA" w:rsidRDefault="00D41966" w:rsidP="00B37F2D">
      <w:pPr>
        <w:spacing w:line="360" w:lineRule="auto"/>
        <w:rPr>
          <w:rFonts w:ascii="Times New Roman" w:hAnsi="Times New Roman" w:cs="Times New Roman"/>
          <w:b/>
          <w:bCs/>
        </w:rPr>
      </w:pPr>
      <w:r w:rsidRPr="004F0ABA">
        <w:rPr>
          <w:rFonts w:ascii="Times New Roman" w:hAnsi="Times New Roman" w:cs="Times New Roman"/>
          <w:b/>
          <w:bCs/>
        </w:rPr>
        <w:t xml:space="preserve">      </w:t>
      </w:r>
      <w:r w:rsidR="00D914B6" w:rsidRPr="004F0ABA">
        <w:rPr>
          <w:rFonts w:ascii="Times New Roman" w:hAnsi="Times New Roman" w:cs="Times New Roman"/>
          <w:b/>
          <w:bCs/>
          <w:sz w:val="26"/>
          <w:szCs w:val="26"/>
        </w:rPr>
        <w:t>Abstract</w:t>
      </w:r>
      <w:r w:rsidR="00D914B6" w:rsidRPr="004F0ABA">
        <w:rPr>
          <w:rFonts w:ascii="Times New Roman" w:hAnsi="Times New Roman" w:cs="Times New Roman"/>
          <w:b/>
          <w:bCs/>
        </w:rPr>
        <w:t>:</w:t>
      </w:r>
    </w:p>
    <w:p w14:paraId="39B5DE6A" w14:textId="3BFE4F1C" w:rsidR="00337504" w:rsidRPr="004F0ABA" w:rsidRDefault="00337504" w:rsidP="00B37F2D">
      <w:pPr>
        <w:spacing w:line="360" w:lineRule="auto"/>
        <w:ind w:left="720"/>
        <w:jc w:val="both"/>
        <w:rPr>
          <w:rFonts w:ascii="Times New Roman" w:hAnsi="Times New Roman" w:cs="Times New Roman"/>
          <w:lang w:val="en-IN"/>
        </w:rPr>
      </w:pPr>
      <w:r w:rsidRPr="004F0ABA">
        <w:rPr>
          <w:rFonts w:ascii="Times New Roman" w:hAnsi="Times New Roman" w:cs="Times New Roman"/>
          <w:lang w:val="en-IN"/>
        </w:rPr>
        <w:t>The global market is experiencing increased volatility due to economic policies, trade regulations, and supply chain disruptions, creating challenges for businesses, policymakers, and consumers in predicting and responding to price fluctuations. This study investigates the use of data-driven insights to predict price spikes in marketplaces impacted by trade regulations, tariffs, and logistical limitations. Historical pricing data, supply chain indices, and tariff announcement data are examined using machine learning models specifically Multi-Layer Perceptron (MLP) Forecasting, ARIMA, and LSTM and time-series forecasting approaches.</w:t>
      </w:r>
      <w:r w:rsidRPr="004F0ABA">
        <w:rPr>
          <w:rFonts w:ascii="Times New Roman" w:hAnsi="Times New Roman" w:cs="Times New Roman"/>
          <w:b/>
          <w:bCs/>
          <w:lang w:val="en-IN"/>
        </w:rPr>
        <w:t xml:space="preserve"> </w:t>
      </w:r>
      <w:r w:rsidRPr="004F0ABA">
        <w:rPr>
          <w:rFonts w:ascii="Times New Roman" w:hAnsi="Times New Roman" w:cs="Times New Roman"/>
          <w:lang w:val="en-IN"/>
        </w:rPr>
        <w:t>The research develops a predictive framework that integrates multiple economic indicators such as inflation rates, trade policy shifts, and supply chain bottlenecks to provide early warnings of price volatility.</w:t>
      </w:r>
      <w:r w:rsidRPr="004F0ABA">
        <w:rPr>
          <w:rFonts w:ascii="Times New Roman" w:hAnsi="Times New Roman" w:cs="Times New Roman"/>
          <w:b/>
          <w:bCs/>
          <w:lang w:val="en-IN"/>
        </w:rPr>
        <w:t xml:space="preserve"> </w:t>
      </w:r>
      <w:r w:rsidRPr="004F0ABA">
        <w:rPr>
          <w:rFonts w:ascii="Times New Roman" w:hAnsi="Times New Roman" w:cs="Times New Roman"/>
          <w:lang w:val="en-IN"/>
        </w:rPr>
        <w:t>The findings demonstrate that machine learning techniques can effectively forecast pricing surges resulting from external market factors, providing actionable insights for strategic decision-making in procurement, policy development, and consumer planning.</w:t>
      </w:r>
    </w:p>
    <w:p w14:paraId="1122511E" w14:textId="77777777" w:rsidR="00337504" w:rsidRPr="004F0ABA" w:rsidRDefault="00337504" w:rsidP="00B37F2D">
      <w:pPr>
        <w:spacing w:line="360" w:lineRule="auto"/>
        <w:ind w:left="720"/>
        <w:jc w:val="both"/>
        <w:rPr>
          <w:rFonts w:ascii="Times New Roman" w:hAnsi="Times New Roman" w:cs="Times New Roman"/>
          <w:lang w:val="en-IN"/>
        </w:rPr>
      </w:pPr>
      <w:r w:rsidRPr="004F0ABA">
        <w:rPr>
          <w:rFonts w:ascii="Times New Roman" w:hAnsi="Times New Roman" w:cs="Times New Roman"/>
          <w:b/>
          <w:bCs/>
          <w:lang w:val="en-IN"/>
        </w:rPr>
        <w:t>Keywords:</w:t>
      </w:r>
      <w:r w:rsidRPr="004F0ABA">
        <w:rPr>
          <w:rFonts w:ascii="Times New Roman" w:hAnsi="Times New Roman" w:cs="Times New Roman"/>
          <w:lang w:val="en-IN"/>
        </w:rPr>
        <w:t xml:space="preserve"> price forecasting; market volatility; tariffs; supply chain disruptions; machine learning; time-series analysis; economic indicators; MLP forecasting; ARIMA; LSTM</w:t>
      </w:r>
    </w:p>
    <w:p w14:paraId="4636FEA7" w14:textId="77777777" w:rsidR="00857AF8" w:rsidRPr="004F0ABA" w:rsidRDefault="00857AF8" w:rsidP="00B37F2D">
      <w:pPr>
        <w:spacing w:line="360" w:lineRule="auto"/>
        <w:jc w:val="both"/>
        <w:rPr>
          <w:rFonts w:ascii="Times New Roman" w:hAnsi="Times New Roman" w:cs="Times New Roman"/>
        </w:rPr>
      </w:pPr>
    </w:p>
    <w:p w14:paraId="4F8C1883" w14:textId="77777777" w:rsidR="00337504" w:rsidRPr="004F0ABA" w:rsidRDefault="00857AF8" w:rsidP="00B37F2D">
      <w:pPr>
        <w:pStyle w:val="ListParagraph"/>
        <w:numPr>
          <w:ilvl w:val="0"/>
          <w:numId w:val="4"/>
        </w:numPr>
        <w:spacing w:line="360" w:lineRule="auto"/>
        <w:jc w:val="both"/>
        <w:rPr>
          <w:rFonts w:ascii="Times New Roman" w:hAnsi="Times New Roman" w:cs="Times New Roman"/>
          <w:lang w:val="en-IN"/>
        </w:rPr>
      </w:pPr>
      <w:r w:rsidRPr="004F0ABA">
        <w:rPr>
          <w:rFonts w:ascii="Times New Roman" w:hAnsi="Times New Roman" w:cs="Times New Roman"/>
          <w:b/>
          <w:bCs/>
          <w:sz w:val="26"/>
          <w:szCs w:val="26"/>
        </w:rPr>
        <w:t>Introduction</w:t>
      </w:r>
      <w:r w:rsidRPr="004F0ABA">
        <w:rPr>
          <w:rFonts w:ascii="Times New Roman" w:hAnsi="Times New Roman" w:cs="Times New Roman"/>
        </w:rPr>
        <w:t>:</w:t>
      </w:r>
      <w:r w:rsidR="0035452F" w:rsidRPr="004F0ABA">
        <w:rPr>
          <w:rFonts w:ascii="Times New Roman" w:hAnsi="Times New Roman" w:cs="Times New Roman"/>
        </w:rPr>
        <w:br/>
      </w:r>
      <w:r w:rsidR="00337504" w:rsidRPr="004F0ABA">
        <w:rPr>
          <w:rFonts w:ascii="Times New Roman" w:hAnsi="Times New Roman" w:cs="Times New Roman"/>
          <w:lang w:val="en-IN"/>
        </w:rPr>
        <w:t>The global market is becoming increasingly volatile due to economic policies, trade regulations, and supply chain disruptions. Price swings brought on by tariffs, trade restrictions, and supply chain interruptions present serious challenges for companies, decision-makers, and consumers in the modern global economy. Unpredictable price increases affect financial planning, procurement strategies, and overall market stability. Data-driven forecasting models are essential for organizations to anticipate these variations and mitigate associated risks.</w:t>
      </w:r>
    </w:p>
    <w:p w14:paraId="4C9541F7" w14:textId="77777777" w:rsidR="00337504" w:rsidRPr="004F0ABA" w:rsidRDefault="00337504" w:rsidP="00B37F2D">
      <w:pPr>
        <w:pStyle w:val="ListParagraph"/>
        <w:spacing w:line="360" w:lineRule="auto"/>
        <w:jc w:val="both"/>
        <w:rPr>
          <w:rFonts w:ascii="Times New Roman" w:hAnsi="Times New Roman" w:cs="Times New Roman"/>
          <w:lang w:val="en-IN"/>
        </w:rPr>
      </w:pPr>
      <w:r w:rsidRPr="004F0ABA">
        <w:rPr>
          <w:rFonts w:ascii="Times New Roman" w:hAnsi="Times New Roman" w:cs="Times New Roman"/>
          <w:lang w:val="en-IN"/>
        </w:rPr>
        <w:lastRenderedPageBreak/>
        <w:t>The current state of research in this field shows growing interest in applying machine learning and artificial intelligence techniques to economic forecasting problems. Previous studies have explored the impact of trade policies on specific industries and commodities, but few have developed comprehensive models that account for the complex interplay of tariffs, supply chain factors, and market dynamics across multiple product categories.</w:t>
      </w:r>
    </w:p>
    <w:p w14:paraId="15107B8C" w14:textId="77777777" w:rsidR="00337504" w:rsidRPr="004F0ABA" w:rsidRDefault="00337504" w:rsidP="00B37F2D">
      <w:pPr>
        <w:pStyle w:val="ListParagraph"/>
        <w:spacing w:line="360" w:lineRule="auto"/>
        <w:jc w:val="both"/>
        <w:rPr>
          <w:rFonts w:ascii="Times New Roman" w:hAnsi="Times New Roman" w:cs="Times New Roman"/>
          <w:lang w:val="en-IN"/>
        </w:rPr>
      </w:pPr>
      <w:r w:rsidRPr="004F0ABA">
        <w:rPr>
          <w:rFonts w:ascii="Times New Roman" w:hAnsi="Times New Roman" w:cs="Times New Roman"/>
          <w:lang w:val="en-IN"/>
        </w:rPr>
        <w:t>This research aims to address this gap by developing a Pricing Surge Forecasting model that predicts price fluctuations resulting from these external factors, particularly focusing on the impact of tariffs and supply chain constraints on market stability. By leveraging machine learning techniques and time-series forecasting, this project seeks to develop a predictive framework that can help businesses, policymakers, and consumers proactively respond to market changes.</w:t>
      </w:r>
    </w:p>
    <w:p w14:paraId="34606308" w14:textId="77777777" w:rsidR="00337504" w:rsidRPr="004F0ABA" w:rsidRDefault="00337504" w:rsidP="00B37F2D">
      <w:pPr>
        <w:pStyle w:val="ListParagraph"/>
        <w:spacing w:line="360" w:lineRule="auto"/>
        <w:jc w:val="both"/>
        <w:rPr>
          <w:rFonts w:ascii="Times New Roman" w:hAnsi="Times New Roman" w:cs="Times New Roman"/>
          <w:lang w:val="en-IN"/>
        </w:rPr>
      </w:pPr>
      <w:r w:rsidRPr="004F0ABA">
        <w:rPr>
          <w:rFonts w:ascii="Times New Roman" w:hAnsi="Times New Roman" w:cs="Times New Roman"/>
          <w:lang w:val="en-IN"/>
        </w:rPr>
        <w:t>The principal objective is to create a prediction model that can offer early warnings of price volatility by examining historical pricing data, supply chain indices, and tariff announcement data. The findings will help businesses optimize procurement strategies, policymakers make informed trade decisions, and consumers anticipate potential cost fluctuations in essential goods and services.</w:t>
      </w:r>
    </w:p>
    <w:p w14:paraId="3B3EE80F" w14:textId="70C3F415" w:rsidR="00857AF8" w:rsidRPr="004F0ABA" w:rsidRDefault="00857AF8" w:rsidP="00B37F2D">
      <w:pPr>
        <w:pStyle w:val="ListParagraph"/>
        <w:spacing w:line="360" w:lineRule="auto"/>
        <w:jc w:val="both"/>
        <w:rPr>
          <w:rFonts w:ascii="Times New Roman" w:hAnsi="Times New Roman" w:cs="Times New Roman"/>
        </w:rPr>
      </w:pPr>
    </w:p>
    <w:p w14:paraId="51ECA539" w14:textId="32EDFE68" w:rsidR="00857AF8" w:rsidRPr="004F0ABA" w:rsidRDefault="00857AF8" w:rsidP="00B37F2D">
      <w:pPr>
        <w:pStyle w:val="ListParagraph"/>
        <w:numPr>
          <w:ilvl w:val="0"/>
          <w:numId w:val="4"/>
        </w:numPr>
        <w:spacing w:line="360" w:lineRule="auto"/>
        <w:jc w:val="both"/>
        <w:rPr>
          <w:rFonts w:ascii="Times New Roman" w:hAnsi="Times New Roman" w:cs="Times New Roman"/>
          <w:b/>
          <w:bCs/>
          <w:sz w:val="26"/>
          <w:szCs w:val="26"/>
        </w:rPr>
      </w:pPr>
      <w:r w:rsidRPr="004F0ABA">
        <w:rPr>
          <w:rFonts w:ascii="Times New Roman" w:hAnsi="Times New Roman" w:cs="Times New Roman"/>
          <w:b/>
          <w:bCs/>
          <w:sz w:val="26"/>
          <w:szCs w:val="26"/>
        </w:rPr>
        <w:t>Materials and Methods</w:t>
      </w:r>
      <w:r w:rsidR="00371AF1" w:rsidRPr="004F0ABA">
        <w:rPr>
          <w:rFonts w:ascii="Times New Roman" w:hAnsi="Times New Roman" w:cs="Times New Roman"/>
          <w:b/>
          <w:bCs/>
          <w:sz w:val="26"/>
          <w:szCs w:val="26"/>
        </w:rPr>
        <w:t>:</w:t>
      </w:r>
    </w:p>
    <w:p w14:paraId="595AC7D0" w14:textId="77777777" w:rsidR="009D619D" w:rsidRPr="004F0ABA" w:rsidRDefault="009D619D" w:rsidP="00B37F2D">
      <w:pPr>
        <w:spacing w:line="360" w:lineRule="auto"/>
        <w:ind w:left="720"/>
        <w:contextualSpacing/>
        <w:jc w:val="both"/>
        <w:rPr>
          <w:rFonts w:ascii="Times New Roman" w:hAnsi="Times New Roman" w:cs="Times New Roman"/>
          <w:b/>
          <w:bCs/>
          <w:sz w:val="25"/>
          <w:szCs w:val="25"/>
          <w:lang w:val="en-IN"/>
        </w:rPr>
      </w:pPr>
      <w:r w:rsidRPr="004F0ABA">
        <w:rPr>
          <w:rFonts w:ascii="Times New Roman" w:hAnsi="Times New Roman" w:cs="Times New Roman"/>
          <w:b/>
          <w:bCs/>
          <w:sz w:val="25"/>
          <w:szCs w:val="25"/>
          <w:lang w:val="en-IN"/>
        </w:rPr>
        <w:t>2.1. Data Collection and Sources</w:t>
      </w:r>
    </w:p>
    <w:p w14:paraId="0AB053ED" w14:textId="77777777" w:rsidR="009D619D" w:rsidRPr="004F0ABA" w:rsidRDefault="009D619D" w:rsidP="00B37F2D">
      <w:pPr>
        <w:spacing w:line="360" w:lineRule="auto"/>
        <w:ind w:left="720"/>
        <w:contextualSpacing/>
        <w:jc w:val="both"/>
        <w:rPr>
          <w:rFonts w:ascii="Times New Roman" w:hAnsi="Times New Roman" w:cs="Times New Roman"/>
          <w:lang w:val="en-IN"/>
        </w:rPr>
      </w:pPr>
      <w:r w:rsidRPr="004F0ABA">
        <w:rPr>
          <w:rFonts w:ascii="Times New Roman" w:hAnsi="Times New Roman" w:cs="Times New Roman"/>
          <w:lang w:val="en-IN"/>
        </w:rPr>
        <w:t>This research leverages comprehensive datasets collected from authoritative government sources:</w:t>
      </w:r>
    </w:p>
    <w:p w14:paraId="29906B03" w14:textId="77777777" w:rsidR="009D619D" w:rsidRPr="004F0ABA" w:rsidRDefault="009D619D" w:rsidP="00B37F2D">
      <w:pPr>
        <w:numPr>
          <w:ilvl w:val="0"/>
          <w:numId w:val="6"/>
        </w:numPr>
        <w:spacing w:line="360" w:lineRule="auto"/>
        <w:contextualSpacing/>
        <w:jc w:val="both"/>
        <w:rPr>
          <w:rFonts w:ascii="Times New Roman" w:hAnsi="Times New Roman" w:cs="Times New Roman"/>
          <w:lang w:val="en-IN"/>
        </w:rPr>
      </w:pPr>
      <w:r w:rsidRPr="004F0ABA">
        <w:rPr>
          <w:rFonts w:ascii="Times New Roman" w:hAnsi="Times New Roman" w:cs="Times New Roman"/>
          <w:b/>
          <w:bCs/>
          <w:lang w:val="en-IN"/>
        </w:rPr>
        <w:t>United States Department of Agriculture (USDA)</w:t>
      </w:r>
      <w:r w:rsidRPr="004F0ABA">
        <w:rPr>
          <w:rFonts w:ascii="Times New Roman" w:hAnsi="Times New Roman" w:cs="Times New Roman"/>
          <w:lang w:val="en-IN"/>
        </w:rPr>
        <w:t>: Agricultural price data, import/export statistics, and commodity market information</w:t>
      </w:r>
    </w:p>
    <w:p w14:paraId="2466299C" w14:textId="77777777" w:rsidR="009D619D" w:rsidRPr="004F0ABA" w:rsidRDefault="009D619D" w:rsidP="00B37F2D">
      <w:pPr>
        <w:numPr>
          <w:ilvl w:val="0"/>
          <w:numId w:val="6"/>
        </w:numPr>
        <w:spacing w:line="360" w:lineRule="auto"/>
        <w:contextualSpacing/>
        <w:jc w:val="both"/>
        <w:rPr>
          <w:rFonts w:ascii="Times New Roman" w:hAnsi="Times New Roman" w:cs="Times New Roman"/>
          <w:lang w:val="en-IN"/>
        </w:rPr>
      </w:pPr>
      <w:r w:rsidRPr="004F0ABA">
        <w:rPr>
          <w:rFonts w:ascii="Times New Roman" w:hAnsi="Times New Roman" w:cs="Times New Roman"/>
          <w:b/>
          <w:bCs/>
          <w:lang w:val="en-IN"/>
        </w:rPr>
        <w:t>Bureau of Labor Statistics (BLS)</w:t>
      </w:r>
      <w:r w:rsidRPr="004F0ABA">
        <w:rPr>
          <w:rFonts w:ascii="Times New Roman" w:hAnsi="Times New Roman" w:cs="Times New Roman"/>
          <w:lang w:val="en-IN"/>
        </w:rPr>
        <w:t>: Producer Price Index (PPI), Consumer Price Index (CPI), and other inflation metrics</w:t>
      </w:r>
    </w:p>
    <w:p w14:paraId="556A511D" w14:textId="77777777" w:rsidR="009D619D" w:rsidRPr="004F0ABA" w:rsidRDefault="009D619D" w:rsidP="00B37F2D">
      <w:pPr>
        <w:numPr>
          <w:ilvl w:val="0"/>
          <w:numId w:val="6"/>
        </w:numPr>
        <w:spacing w:line="360" w:lineRule="auto"/>
        <w:contextualSpacing/>
        <w:jc w:val="both"/>
        <w:rPr>
          <w:rFonts w:ascii="Times New Roman" w:hAnsi="Times New Roman" w:cs="Times New Roman"/>
          <w:lang w:val="en-IN"/>
        </w:rPr>
      </w:pPr>
      <w:r w:rsidRPr="004F0ABA">
        <w:rPr>
          <w:rFonts w:ascii="Times New Roman" w:hAnsi="Times New Roman" w:cs="Times New Roman"/>
          <w:b/>
          <w:bCs/>
          <w:lang w:val="en-IN"/>
        </w:rPr>
        <w:t>Federal Reserve Economic Data (FRED)</w:t>
      </w:r>
      <w:r w:rsidRPr="004F0ABA">
        <w:rPr>
          <w:rFonts w:ascii="Times New Roman" w:hAnsi="Times New Roman" w:cs="Times New Roman"/>
          <w:lang w:val="en-IN"/>
        </w:rPr>
        <w:t>: Economic indicators and market performance metrics</w:t>
      </w:r>
    </w:p>
    <w:p w14:paraId="6AB6994D" w14:textId="77777777" w:rsidR="009D619D" w:rsidRPr="004F0ABA" w:rsidRDefault="009D619D" w:rsidP="00B37F2D">
      <w:pPr>
        <w:numPr>
          <w:ilvl w:val="0"/>
          <w:numId w:val="6"/>
        </w:numPr>
        <w:spacing w:line="360" w:lineRule="auto"/>
        <w:contextualSpacing/>
        <w:jc w:val="both"/>
        <w:rPr>
          <w:rFonts w:ascii="Times New Roman" w:hAnsi="Times New Roman" w:cs="Times New Roman"/>
          <w:lang w:val="en-IN"/>
        </w:rPr>
      </w:pPr>
      <w:r w:rsidRPr="004F0ABA">
        <w:rPr>
          <w:rFonts w:ascii="Times New Roman" w:hAnsi="Times New Roman" w:cs="Times New Roman"/>
          <w:b/>
          <w:bCs/>
          <w:lang w:val="en-IN"/>
        </w:rPr>
        <w:t>Other government sources</w:t>
      </w:r>
      <w:r w:rsidRPr="004F0ABA">
        <w:rPr>
          <w:rFonts w:ascii="Times New Roman" w:hAnsi="Times New Roman" w:cs="Times New Roman"/>
          <w:lang w:val="en-IN"/>
        </w:rPr>
        <w:t>: Supply chain performance indices, transportation metrics, and logistics data</w:t>
      </w:r>
    </w:p>
    <w:p w14:paraId="62F3DEE7" w14:textId="77777777" w:rsidR="00EA7960" w:rsidRDefault="00EA7960" w:rsidP="00B37F2D">
      <w:pPr>
        <w:spacing w:line="360" w:lineRule="auto"/>
        <w:ind w:left="720"/>
        <w:contextualSpacing/>
        <w:jc w:val="both"/>
        <w:rPr>
          <w:rFonts w:ascii="Times New Roman" w:hAnsi="Times New Roman" w:cs="Times New Roman"/>
          <w:lang w:val="en-IN"/>
        </w:rPr>
      </w:pPr>
    </w:p>
    <w:p w14:paraId="2C716088" w14:textId="77777777" w:rsidR="00E83716" w:rsidRPr="004F0ABA" w:rsidRDefault="00E83716" w:rsidP="00B37F2D">
      <w:pPr>
        <w:spacing w:line="360" w:lineRule="auto"/>
        <w:ind w:left="720"/>
        <w:contextualSpacing/>
        <w:jc w:val="both"/>
        <w:rPr>
          <w:rFonts w:ascii="Times New Roman" w:hAnsi="Times New Roman" w:cs="Times New Roman"/>
          <w:lang w:val="en-IN"/>
        </w:rPr>
      </w:pPr>
    </w:p>
    <w:p w14:paraId="7A242205" w14:textId="77777777" w:rsidR="009D619D" w:rsidRPr="004F0ABA" w:rsidRDefault="009D619D" w:rsidP="00B37F2D">
      <w:pPr>
        <w:spacing w:line="360" w:lineRule="auto"/>
        <w:ind w:left="720"/>
        <w:contextualSpacing/>
        <w:jc w:val="both"/>
        <w:rPr>
          <w:rFonts w:ascii="Times New Roman" w:hAnsi="Times New Roman" w:cs="Times New Roman"/>
          <w:lang w:val="en-IN"/>
        </w:rPr>
      </w:pPr>
      <w:r w:rsidRPr="004F0ABA">
        <w:rPr>
          <w:rFonts w:ascii="Times New Roman" w:hAnsi="Times New Roman" w:cs="Times New Roman"/>
          <w:lang w:val="en-IN"/>
        </w:rPr>
        <w:lastRenderedPageBreak/>
        <w:t>The collected data includes:</w:t>
      </w:r>
    </w:p>
    <w:p w14:paraId="4756B71F" w14:textId="5D5E1EE1" w:rsidR="004245B9" w:rsidRPr="004F0ABA" w:rsidRDefault="009D619D" w:rsidP="00B37F2D">
      <w:pPr>
        <w:spacing w:line="360" w:lineRule="auto"/>
        <w:ind w:left="720"/>
        <w:contextualSpacing/>
        <w:jc w:val="both"/>
        <w:rPr>
          <w:rFonts w:ascii="Times New Roman" w:hAnsi="Times New Roman" w:cs="Times New Roman"/>
        </w:rPr>
      </w:pPr>
      <w:r w:rsidRPr="004F0ABA">
        <w:rPr>
          <w:rFonts w:ascii="Times New Roman" w:hAnsi="Times New Roman" w:cs="Times New Roman"/>
          <w:lang w:val="en-IN"/>
        </w:rPr>
        <w:t>Historical prices of imported products (vegetables, dairy, meat, etc.) spanning the past 5 years</w:t>
      </w:r>
      <w:r w:rsidR="001773C6" w:rsidRPr="004F0ABA">
        <w:rPr>
          <w:rFonts w:ascii="Times New Roman" w:hAnsi="Times New Roman" w:cs="Times New Roman"/>
          <w:lang w:val="en-IN"/>
        </w:rPr>
        <w:t>.</w:t>
      </w:r>
    </w:p>
    <w:p w14:paraId="09176F83" w14:textId="77777777" w:rsidR="001773C6" w:rsidRPr="004F0ABA" w:rsidRDefault="001773C6" w:rsidP="00B37F2D">
      <w:pPr>
        <w:spacing w:line="360" w:lineRule="auto"/>
        <w:contextualSpacing/>
        <w:jc w:val="both"/>
        <w:rPr>
          <w:rFonts w:ascii="Times New Roman" w:hAnsi="Times New Roman" w:cs="Times New Roman"/>
          <w:lang w:val="en-IN"/>
        </w:rPr>
      </w:pPr>
    </w:p>
    <w:p w14:paraId="145C9137" w14:textId="77777777" w:rsidR="001773C6" w:rsidRPr="004F0ABA" w:rsidRDefault="001773C6" w:rsidP="00B37F2D">
      <w:pPr>
        <w:spacing w:line="360" w:lineRule="auto"/>
        <w:ind w:left="360"/>
        <w:contextualSpacing/>
        <w:jc w:val="both"/>
        <w:rPr>
          <w:rFonts w:ascii="Times New Roman" w:hAnsi="Times New Roman" w:cs="Times New Roman"/>
          <w:lang w:val="en-IN"/>
        </w:rPr>
      </w:pPr>
      <w:r w:rsidRPr="004F0ABA">
        <w:rPr>
          <w:rFonts w:ascii="Times New Roman" w:hAnsi="Times New Roman" w:cs="Times New Roman"/>
          <w:lang w:val="en-IN"/>
        </w:rPr>
        <w:t>While the dataset does not directly include tariff implementation dates or rates, these will be incorporated into the analysis through:</w:t>
      </w:r>
    </w:p>
    <w:p w14:paraId="3E3BAD38" w14:textId="77777777" w:rsidR="001773C6" w:rsidRPr="004F0ABA" w:rsidRDefault="001773C6" w:rsidP="00B37F2D">
      <w:pPr>
        <w:numPr>
          <w:ilvl w:val="0"/>
          <w:numId w:val="8"/>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Historical research of major tariff implementation events affecting food imports</w:t>
      </w:r>
    </w:p>
    <w:p w14:paraId="127106B4" w14:textId="77777777" w:rsidR="001773C6" w:rsidRPr="004F0ABA" w:rsidRDefault="001773C6" w:rsidP="00B37F2D">
      <w:pPr>
        <w:numPr>
          <w:ilvl w:val="0"/>
          <w:numId w:val="8"/>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Integration of publicly available tariff announcement dates from government sources</w:t>
      </w:r>
    </w:p>
    <w:p w14:paraId="0612AB57" w14:textId="77777777" w:rsidR="001773C6" w:rsidRPr="004F0ABA" w:rsidRDefault="001773C6" w:rsidP="00B37F2D">
      <w:pPr>
        <w:spacing w:line="360" w:lineRule="auto"/>
        <w:ind w:left="360"/>
        <w:contextualSpacing/>
        <w:jc w:val="both"/>
        <w:rPr>
          <w:rFonts w:ascii="Times New Roman" w:hAnsi="Times New Roman" w:cs="Times New Roman"/>
        </w:rPr>
      </w:pPr>
    </w:p>
    <w:p w14:paraId="589B2C53" w14:textId="420E0F0E" w:rsidR="00BC3A78" w:rsidRPr="004F0ABA" w:rsidRDefault="00EA7960" w:rsidP="00B37F2D">
      <w:pPr>
        <w:spacing w:line="360" w:lineRule="auto"/>
        <w:ind w:left="360" w:firstLine="360"/>
        <w:contextualSpacing/>
        <w:jc w:val="both"/>
        <w:rPr>
          <w:rFonts w:ascii="Times New Roman" w:hAnsi="Times New Roman" w:cs="Times New Roman"/>
          <w:b/>
          <w:bCs/>
          <w:lang w:val="en-IN"/>
        </w:rPr>
      </w:pPr>
      <w:r w:rsidRPr="004F0ABA">
        <w:rPr>
          <w:rFonts w:ascii="Times New Roman" w:hAnsi="Times New Roman" w:cs="Times New Roman"/>
          <w:b/>
          <w:bCs/>
          <w:lang w:val="en-IN"/>
        </w:rPr>
        <w:t xml:space="preserve">2.2. </w:t>
      </w:r>
      <w:r w:rsidR="00BC3A78" w:rsidRPr="004F0ABA">
        <w:rPr>
          <w:rFonts w:ascii="Times New Roman" w:hAnsi="Times New Roman" w:cs="Times New Roman"/>
          <w:b/>
          <w:bCs/>
          <w:lang w:val="en-IN"/>
        </w:rPr>
        <w:t>Model Development: MLP Forecasting Approach</w:t>
      </w:r>
    </w:p>
    <w:p w14:paraId="54004192" w14:textId="16F78327" w:rsidR="00BC3A78" w:rsidRPr="004F0ABA" w:rsidRDefault="00BC3A78" w:rsidP="00B37F2D">
      <w:pPr>
        <w:spacing w:line="360" w:lineRule="auto"/>
        <w:ind w:left="720"/>
        <w:contextualSpacing/>
        <w:jc w:val="both"/>
        <w:rPr>
          <w:rFonts w:ascii="Times New Roman" w:hAnsi="Times New Roman" w:cs="Times New Roman"/>
          <w:lang w:val="en-IN"/>
        </w:rPr>
      </w:pPr>
      <w:r w:rsidRPr="004F0ABA">
        <w:rPr>
          <w:rFonts w:ascii="Times New Roman" w:hAnsi="Times New Roman" w:cs="Times New Roman"/>
          <w:lang w:val="en-IN"/>
        </w:rPr>
        <w:t>The core of this research is the implementation of Multi-Layer Perceptron (MLP) Forecasting, which allows for simultaneous prediction of price movements across multiple product categories. The MLP approach is particularly suitable for this problem because:</w:t>
      </w:r>
    </w:p>
    <w:p w14:paraId="28E05A94" w14:textId="77777777" w:rsidR="00BC3A78" w:rsidRPr="004F0ABA" w:rsidRDefault="00BC3A78" w:rsidP="00B37F2D">
      <w:pPr>
        <w:numPr>
          <w:ilvl w:val="0"/>
          <w:numId w:val="9"/>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It can capture non-linear relationships between input features and price movements</w:t>
      </w:r>
    </w:p>
    <w:p w14:paraId="41FF9FC1" w14:textId="1A50A57A" w:rsidR="00BC3A78" w:rsidRPr="004F0ABA" w:rsidRDefault="00BC3A78" w:rsidP="00B37F2D">
      <w:pPr>
        <w:numPr>
          <w:ilvl w:val="0"/>
          <w:numId w:val="9"/>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 xml:space="preserve">It allows for </w:t>
      </w:r>
      <w:r w:rsidR="00772F2B" w:rsidRPr="004F0ABA">
        <w:rPr>
          <w:rFonts w:ascii="Times New Roman" w:hAnsi="Times New Roman" w:cs="Times New Roman"/>
          <w:lang w:val="en-IN"/>
        </w:rPr>
        <w:t>modelling</w:t>
      </w:r>
      <w:r w:rsidRPr="004F0ABA">
        <w:rPr>
          <w:rFonts w:ascii="Times New Roman" w:hAnsi="Times New Roman" w:cs="Times New Roman"/>
          <w:lang w:val="en-IN"/>
        </w:rPr>
        <w:t xml:space="preserve"> complex interactions between product categories</w:t>
      </w:r>
    </w:p>
    <w:p w14:paraId="06A08D9A" w14:textId="77777777" w:rsidR="00BC3A78" w:rsidRPr="004F0ABA" w:rsidRDefault="00BC3A78" w:rsidP="00B37F2D">
      <w:pPr>
        <w:numPr>
          <w:ilvl w:val="0"/>
          <w:numId w:val="9"/>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It can incorporate both numerical and categorical features effectively</w:t>
      </w:r>
    </w:p>
    <w:p w14:paraId="5865024B" w14:textId="77777777" w:rsidR="00BC3A78" w:rsidRPr="004F0ABA" w:rsidRDefault="00BC3A78" w:rsidP="00B37F2D">
      <w:pPr>
        <w:numPr>
          <w:ilvl w:val="0"/>
          <w:numId w:val="9"/>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It can be adapted to predict multiple time horizons simultaneously</w:t>
      </w:r>
    </w:p>
    <w:p w14:paraId="3615DDAD" w14:textId="77777777" w:rsidR="00BC3A78" w:rsidRPr="004F0ABA" w:rsidRDefault="00BC3A78" w:rsidP="00B37F2D">
      <w:pPr>
        <w:spacing w:line="360" w:lineRule="auto"/>
        <w:ind w:left="360"/>
        <w:contextualSpacing/>
        <w:jc w:val="both"/>
        <w:rPr>
          <w:rFonts w:ascii="Times New Roman" w:hAnsi="Times New Roman" w:cs="Times New Roman"/>
          <w:lang w:val="en-IN"/>
        </w:rPr>
      </w:pPr>
      <w:r w:rsidRPr="004F0ABA">
        <w:rPr>
          <w:rFonts w:ascii="Times New Roman" w:hAnsi="Times New Roman" w:cs="Times New Roman"/>
          <w:lang w:val="en-IN"/>
        </w:rPr>
        <w:t>The MLP architecture consists of:</w:t>
      </w:r>
    </w:p>
    <w:p w14:paraId="7FE5F4EF" w14:textId="77777777" w:rsidR="00BC3A78" w:rsidRPr="004F0ABA" w:rsidRDefault="00BC3A78" w:rsidP="00B37F2D">
      <w:pPr>
        <w:numPr>
          <w:ilvl w:val="0"/>
          <w:numId w:val="10"/>
        </w:numPr>
        <w:spacing w:line="360" w:lineRule="auto"/>
        <w:contextualSpacing/>
        <w:jc w:val="both"/>
        <w:rPr>
          <w:rFonts w:ascii="Times New Roman" w:hAnsi="Times New Roman" w:cs="Times New Roman"/>
          <w:lang w:val="en-IN"/>
        </w:rPr>
      </w:pPr>
      <w:r w:rsidRPr="004F0ABA">
        <w:rPr>
          <w:rFonts w:ascii="Times New Roman" w:hAnsi="Times New Roman" w:cs="Times New Roman"/>
          <w:b/>
          <w:bCs/>
          <w:lang w:val="en-IN"/>
        </w:rPr>
        <w:t>Input Layer</w:t>
      </w:r>
      <w:r w:rsidRPr="004F0ABA">
        <w:rPr>
          <w:rFonts w:ascii="Times New Roman" w:hAnsi="Times New Roman" w:cs="Times New Roman"/>
          <w:lang w:val="en-IN"/>
        </w:rPr>
        <w:t>: Features derived from historical pricing data, seasonality indicators, and tariff-related factors</w:t>
      </w:r>
    </w:p>
    <w:p w14:paraId="33F272C8" w14:textId="77777777" w:rsidR="00BC3A78" w:rsidRPr="004F0ABA" w:rsidRDefault="00BC3A78" w:rsidP="00B37F2D">
      <w:pPr>
        <w:numPr>
          <w:ilvl w:val="0"/>
          <w:numId w:val="10"/>
        </w:numPr>
        <w:spacing w:line="360" w:lineRule="auto"/>
        <w:contextualSpacing/>
        <w:jc w:val="both"/>
        <w:rPr>
          <w:rFonts w:ascii="Times New Roman" w:hAnsi="Times New Roman" w:cs="Times New Roman"/>
          <w:lang w:val="en-IN"/>
        </w:rPr>
      </w:pPr>
      <w:r w:rsidRPr="004F0ABA">
        <w:rPr>
          <w:rFonts w:ascii="Times New Roman" w:hAnsi="Times New Roman" w:cs="Times New Roman"/>
          <w:b/>
          <w:bCs/>
          <w:lang w:val="en-IN"/>
        </w:rPr>
        <w:t>Hidden Layers</w:t>
      </w:r>
      <w:r w:rsidRPr="004F0ABA">
        <w:rPr>
          <w:rFonts w:ascii="Times New Roman" w:hAnsi="Times New Roman" w:cs="Times New Roman"/>
          <w:lang w:val="en-IN"/>
        </w:rPr>
        <w:t>: Multiple dense layers with non-linear activation functions (</w:t>
      </w:r>
      <w:proofErr w:type="spellStart"/>
      <w:r w:rsidRPr="004F0ABA">
        <w:rPr>
          <w:rFonts w:ascii="Times New Roman" w:hAnsi="Times New Roman" w:cs="Times New Roman"/>
          <w:lang w:val="en-IN"/>
        </w:rPr>
        <w:t>ReLU</w:t>
      </w:r>
      <w:proofErr w:type="spellEnd"/>
      <w:r w:rsidRPr="004F0ABA">
        <w:rPr>
          <w:rFonts w:ascii="Times New Roman" w:hAnsi="Times New Roman" w:cs="Times New Roman"/>
          <w:lang w:val="en-IN"/>
        </w:rPr>
        <w:t>)</w:t>
      </w:r>
    </w:p>
    <w:p w14:paraId="772A232B" w14:textId="77777777" w:rsidR="00BC3A78" w:rsidRPr="004F0ABA" w:rsidRDefault="00BC3A78" w:rsidP="00B37F2D">
      <w:pPr>
        <w:numPr>
          <w:ilvl w:val="0"/>
          <w:numId w:val="10"/>
        </w:numPr>
        <w:spacing w:line="360" w:lineRule="auto"/>
        <w:contextualSpacing/>
        <w:jc w:val="both"/>
        <w:rPr>
          <w:rFonts w:ascii="Times New Roman" w:hAnsi="Times New Roman" w:cs="Times New Roman"/>
          <w:lang w:val="en-IN"/>
        </w:rPr>
      </w:pPr>
      <w:r w:rsidRPr="004F0ABA">
        <w:rPr>
          <w:rFonts w:ascii="Times New Roman" w:hAnsi="Times New Roman" w:cs="Times New Roman"/>
          <w:b/>
          <w:bCs/>
          <w:lang w:val="en-IN"/>
        </w:rPr>
        <w:t>Output Layer</w:t>
      </w:r>
      <w:r w:rsidRPr="004F0ABA">
        <w:rPr>
          <w:rFonts w:ascii="Times New Roman" w:hAnsi="Times New Roman" w:cs="Times New Roman"/>
          <w:lang w:val="en-IN"/>
        </w:rPr>
        <w:t>: Predicted prices for each product category under tariff implementation scenarios</w:t>
      </w:r>
    </w:p>
    <w:p w14:paraId="1B8BEE69" w14:textId="77777777" w:rsidR="001773C6" w:rsidRPr="004F0ABA" w:rsidRDefault="001773C6" w:rsidP="00B37F2D">
      <w:pPr>
        <w:spacing w:line="360" w:lineRule="auto"/>
        <w:ind w:left="360"/>
        <w:contextualSpacing/>
        <w:jc w:val="both"/>
        <w:rPr>
          <w:rFonts w:ascii="Times New Roman" w:hAnsi="Times New Roman" w:cs="Times New Roman"/>
        </w:rPr>
      </w:pPr>
    </w:p>
    <w:p w14:paraId="08A838C8" w14:textId="77777777" w:rsidR="00BC3A78" w:rsidRPr="004F0ABA" w:rsidRDefault="00BC3A78" w:rsidP="00B37F2D">
      <w:pPr>
        <w:spacing w:line="360" w:lineRule="auto"/>
        <w:ind w:left="360"/>
        <w:contextualSpacing/>
        <w:jc w:val="both"/>
        <w:rPr>
          <w:rFonts w:ascii="Times New Roman" w:hAnsi="Times New Roman" w:cs="Times New Roman"/>
          <w:b/>
          <w:bCs/>
          <w:lang w:val="en-IN"/>
        </w:rPr>
      </w:pPr>
      <w:r w:rsidRPr="004F0ABA">
        <w:rPr>
          <w:rFonts w:ascii="Times New Roman" w:hAnsi="Times New Roman" w:cs="Times New Roman"/>
          <w:b/>
          <w:bCs/>
          <w:lang w:val="en-IN"/>
        </w:rPr>
        <w:t>Evaluation Metrics</w:t>
      </w:r>
    </w:p>
    <w:p w14:paraId="389716B7" w14:textId="77777777" w:rsidR="00BC3A78" w:rsidRPr="004F0ABA" w:rsidRDefault="00BC3A78" w:rsidP="00B37F2D">
      <w:pPr>
        <w:spacing w:line="360" w:lineRule="auto"/>
        <w:ind w:left="360"/>
        <w:contextualSpacing/>
        <w:jc w:val="both"/>
        <w:rPr>
          <w:rFonts w:ascii="Times New Roman" w:hAnsi="Times New Roman" w:cs="Times New Roman"/>
          <w:lang w:val="en-IN"/>
        </w:rPr>
      </w:pPr>
      <w:r w:rsidRPr="004F0ABA">
        <w:rPr>
          <w:rFonts w:ascii="Times New Roman" w:hAnsi="Times New Roman" w:cs="Times New Roman"/>
          <w:lang w:val="en-IN"/>
        </w:rPr>
        <w:t>Model performance is evaluated using:</w:t>
      </w:r>
    </w:p>
    <w:p w14:paraId="174F3DF4" w14:textId="77777777" w:rsidR="00BC3A78" w:rsidRPr="004F0ABA" w:rsidRDefault="00BC3A78" w:rsidP="00B37F2D">
      <w:pPr>
        <w:numPr>
          <w:ilvl w:val="0"/>
          <w:numId w:val="11"/>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Mean Absolute Error (MAE)</w:t>
      </w:r>
    </w:p>
    <w:p w14:paraId="56087A74" w14:textId="77777777" w:rsidR="00BC3A78" w:rsidRPr="004F0ABA" w:rsidRDefault="00BC3A78" w:rsidP="00B37F2D">
      <w:pPr>
        <w:numPr>
          <w:ilvl w:val="0"/>
          <w:numId w:val="11"/>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Root Mean Square Error (RMSE)</w:t>
      </w:r>
    </w:p>
    <w:p w14:paraId="1E4E928D" w14:textId="77777777" w:rsidR="00BC3A78" w:rsidRPr="004F0ABA" w:rsidRDefault="00BC3A78" w:rsidP="00B37F2D">
      <w:pPr>
        <w:numPr>
          <w:ilvl w:val="0"/>
          <w:numId w:val="11"/>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Mean Absolute Percentage Error (MAPE)</w:t>
      </w:r>
    </w:p>
    <w:p w14:paraId="4758FFF7" w14:textId="77777777" w:rsidR="00BC3A78" w:rsidRPr="004F0ABA" w:rsidRDefault="00BC3A78" w:rsidP="00B37F2D">
      <w:pPr>
        <w:numPr>
          <w:ilvl w:val="0"/>
          <w:numId w:val="11"/>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Directional accuracy (correct prediction of price increase/decrease)</w:t>
      </w:r>
    </w:p>
    <w:p w14:paraId="24D87CDA" w14:textId="71999B9C" w:rsidR="00BC3A78" w:rsidRPr="00285FD8" w:rsidRDefault="00BC3A78" w:rsidP="00285FD8">
      <w:pPr>
        <w:numPr>
          <w:ilvl w:val="0"/>
          <w:numId w:val="11"/>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Category-specific performance metrics</w:t>
      </w:r>
    </w:p>
    <w:p w14:paraId="7E0FBB4E" w14:textId="43C8F603" w:rsidR="00BC3A78" w:rsidRPr="004F0ABA" w:rsidRDefault="00BC3A78" w:rsidP="00B37F2D">
      <w:pPr>
        <w:pStyle w:val="ListParagraph"/>
        <w:numPr>
          <w:ilvl w:val="0"/>
          <w:numId w:val="8"/>
        </w:numPr>
        <w:spacing w:line="360" w:lineRule="auto"/>
        <w:jc w:val="both"/>
        <w:rPr>
          <w:rFonts w:ascii="Times New Roman" w:hAnsi="Times New Roman" w:cs="Times New Roman"/>
          <w:b/>
          <w:bCs/>
          <w:sz w:val="26"/>
          <w:szCs w:val="26"/>
          <w:lang w:val="en-IN"/>
        </w:rPr>
      </w:pPr>
      <w:r w:rsidRPr="004F0ABA">
        <w:rPr>
          <w:rFonts w:ascii="Times New Roman" w:hAnsi="Times New Roman" w:cs="Times New Roman"/>
          <w:b/>
          <w:bCs/>
          <w:sz w:val="26"/>
          <w:szCs w:val="26"/>
          <w:lang w:val="en-IN"/>
        </w:rPr>
        <w:lastRenderedPageBreak/>
        <w:t>Results</w:t>
      </w:r>
    </w:p>
    <w:p w14:paraId="3C918F0E" w14:textId="77777777" w:rsidR="00BC3A78" w:rsidRPr="004F0ABA" w:rsidRDefault="00BC3A78" w:rsidP="00B37F2D">
      <w:pPr>
        <w:spacing w:line="360" w:lineRule="auto"/>
        <w:ind w:left="360"/>
        <w:contextualSpacing/>
        <w:jc w:val="both"/>
        <w:rPr>
          <w:rFonts w:ascii="Times New Roman" w:hAnsi="Times New Roman" w:cs="Times New Roman"/>
          <w:lang w:val="en-IN"/>
        </w:rPr>
      </w:pPr>
      <w:r w:rsidRPr="004F0ABA">
        <w:rPr>
          <w:rFonts w:ascii="Times New Roman" w:hAnsi="Times New Roman" w:cs="Times New Roman"/>
          <w:lang w:val="en-IN"/>
        </w:rPr>
        <w:t>This section presents the outcomes of the model implementation and analysis based on the available price data and simulated tariff scenarios.</w:t>
      </w:r>
    </w:p>
    <w:p w14:paraId="3729DF55" w14:textId="77777777" w:rsidR="00BC3A78" w:rsidRPr="004F0ABA" w:rsidRDefault="00BC3A78" w:rsidP="00B37F2D">
      <w:pPr>
        <w:spacing w:line="360" w:lineRule="auto"/>
        <w:ind w:left="360" w:firstLine="360"/>
        <w:contextualSpacing/>
        <w:jc w:val="both"/>
        <w:rPr>
          <w:rFonts w:ascii="Times New Roman" w:hAnsi="Times New Roman" w:cs="Times New Roman"/>
          <w:b/>
          <w:bCs/>
          <w:sz w:val="25"/>
          <w:szCs w:val="25"/>
          <w:lang w:val="en-IN"/>
        </w:rPr>
      </w:pPr>
      <w:r w:rsidRPr="004F0ABA">
        <w:rPr>
          <w:rFonts w:ascii="Times New Roman" w:hAnsi="Times New Roman" w:cs="Times New Roman"/>
          <w:b/>
          <w:bCs/>
          <w:sz w:val="25"/>
          <w:szCs w:val="25"/>
          <w:lang w:val="en-IN"/>
        </w:rPr>
        <w:t>3.1. Historical Price Pattern Analysis</w:t>
      </w:r>
    </w:p>
    <w:p w14:paraId="1BD41864" w14:textId="77777777" w:rsidR="001F1691" w:rsidRPr="004F0ABA" w:rsidRDefault="001F1691" w:rsidP="00B37F2D">
      <w:pPr>
        <w:spacing w:line="360" w:lineRule="auto"/>
        <w:ind w:left="720"/>
        <w:contextualSpacing/>
        <w:jc w:val="both"/>
        <w:rPr>
          <w:rFonts w:ascii="Times New Roman" w:hAnsi="Times New Roman" w:cs="Times New Roman"/>
          <w:lang w:val="en-IN"/>
        </w:rPr>
      </w:pPr>
      <w:r w:rsidRPr="004F0ABA">
        <w:rPr>
          <w:rFonts w:ascii="Times New Roman" w:hAnsi="Times New Roman" w:cs="Times New Roman"/>
          <w:lang w:val="en-IN"/>
        </w:rPr>
        <w:t>Initial exploratory data analysis reveals several important patterns in the price data:</w:t>
      </w:r>
    </w:p>
    <w:p w14:paraId="32B867CE" w14:textId="77777777" w:rsidR="001F1691" w:rsidRPr="004F0ABA" w:rsidRDefault="001F1691" w:rsidP="00B37F2D">
      <w:pPr>
        <w:numPr>
          <w:ilvl w:val="0"/>
          <w:numId w:val="16"/>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Significant seasonal variations in fruit and vegetable prices, with apple prices showing volatility between $0.70-$2.20/lb and tomatoes exhibiting price swings from $1.00-$3.00/lb</w:t>
      </w:r>
    </w:p>
    <w:p w14:paraId="67731B81" w14:textId="77777777" w:rsidR="001F1691" w:rsidRPr="004F0ABA" w:rsidRDefault="001F1691" w:rsidP="00B37F2D">
      <w:pPr>
        <w:numPr>
          <w:ilvl w:val="0"/>
          <w:numId w:val="16"/>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Regional price disparities, particularly between Northeast and Southwest regions</w:t>
      </w:r>
    </w:p>
    <w:p w14:paraId="45F3239E" w14:textId="77777777" w:rsidR="001F1691" w:rsidRPr="004F0ABA" w:rsidRDefault="001F1691" w:rsidP="00B37F2D">
      <w:pPr>
        <w:numPr>
          <w:ilvl w:val="0"/>
          <w:numId w:val="16"/>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Long-term price trends showing steady increases across most categories, clearly demonstrated in the beef price data</w:t>
      </w:r>
    </w:p>
    <w:p w14:paraId="1BAA32A0" w14:textId="77777777" w:rsidR="001F1691" w:rsidRPr="004F0ABA" w:rsidRDefault="001F1691" w:rsidP="00B37F2D">
      <w:pPr>
        <w:numPr>
          <w:ilvl w:val="0"/>
          <w:numId w:val="16"/>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Short-term price volatility varying significantly by product category, with produce showing higher volatility than meat</w:t>
      </w:r>
    </w:p>
    <w:p w14:paraId="077454B4" w14:textId="77777777" w:rsidR="00EA7960" w:rsidRPr="004F0ABA" w:rsidRDefault="00EA7960" w:rsidP="00B37F2D">
      <w:pPr>
        <w:spacing w:line="360" w:lineRule="auto"/>
        <w:ind w:left="720" w:firstLine="360"/>
        <w:contextualSpacing/>
        <w:jc w:val="both"/>
        <w:rPr>
          <w:rFonts w:ascii="Times New Roman" w:hAnsi="Times New Roman" w:cs="Times New Roman"/>
          <w:lang w:val="en-IN"/>
        </w:rPr>
      </w:pPr>
    </w:p>
    <w:p w14:paraId="6B64EFE0" w14:textId="6E928E91" w:rsidR="001F1691" w:rsidRPr="004F0ABA" w:rsidRDefault="001F1691" w:rsidP="00B37F2D">
      <w:pPr>
        <w:spacing w:line="360" w:lineRule="auto"/>
        <w:ind w:left="720" w:firstLine="360"/>
        <w:contextualSpacing/>
        <w:jc w:val="both"/>
        <w:rPr>
          <w:rFonts w:ascii="Times New Roman" w:hAnsi="Times New Roman" w:cs="Times New Roman"/>
          <w:lang w:val="en-IN"/>
        </w:rPr>
      </w:pPr>
      <w:r w:rsidRPr="004F0ABA">
        <w:rPr>
          <w:rFonts w:ascii="Times New Roman" w:hAnsi="Times New Roman" w:cs="Times New Roman"/>
          <w:lang w:val="en-IN"/>
        </w:rPr>
        <w:t>Key findings include:</w:t>
      </w:r>
    </w:p>
    <w:p w14:paraId="1A5356B8" w14:textId="77777777" w:rsidR="001F1691" w:rsidRPr="004F0ABA" w:rsidRDefault="001F1691" w:rsidP="00B37F2D">
      <w:pPr>
        <w:numPr>
          <w:ilvl w:val="0"/>
          <w:numId w:val="17"/>
        </w:numPr>
        <w:tabs>
          <w:tab w:val="num" w:pos="72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Beef model demonstrates the lowest error (MAPE ~1.74%) – extremely accurate with strong trend capture</w:t>
      </w:r>
    </w:p>
    <w:p w14:paraId="0A328B84" w14:textId="77777777" w:rsidR="001F1691" w:rsidRPr="004F0ABA" w:rsidRDefault="001F1691" w:rsidP="00B37F2D">
      <w:pPr>
        <w:numPr>
          <w:ilvl w:val="0"/>
          <w:numId w:val="17"/>
        </w:numPr>
        <w:tabs>
          <w:tab w:val="num" w:pos="72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Apples and Tomatoes show reasonable results with higher MAPE (~14–15%) due to their inherent price volatility</w:t>
      </w:r>
    </w:p>
    <w:p w14:paraId="501F030C" w14:textId="77777777" w:rsidR="001F1691" w:rsidRPr="004F0ABA" w:rsidRDefault="001F1691" w:rsidP="00B37F2D">
      <w:pPr>
        <w:numPr>
          <w:ilvl w:val="0"/>
          <w:numId w:val="17"/>
        </w:numPr>
        <w:tabs>
          <w:tab w:val="num" w:pos="72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Meat prices exhibited greater predictability and less volatility compared to produce categories</w:t>
      </w:r>
    </w:p>
    <w:p w14:paraId="50C4B0C2" w14:textId="77777777" w:rsidR="001F1691" w:rsidRPr="004F0ABA" w:rsidRDefault="001F1691" w:rsidP="00B37F2D">
      <w:pPr>
        <w:numPr>
          <w:ilvl w:val="0"/>
          <w:numId w:val="17"/>
        </w:numPr>
        <w:tabs>
          <w:tab w:val="num" w:pos="72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Beef prices show a clear upward trend from approximately $7.40/lb to $8.40/lb over the forecasting period</w:t>
      </w:r>
    </w:p>
    <w:p w14:paraId="24BDF4AB" w14:textId="316555BB" w:rsidR="001F1691" w:rsidRPr="004F0ABA" w:rsidRDefault="001F1691" w:rsidP="00B37F2D">
      <w:pPr>
        <w:numPr>
          <w:ilvl w:val="0"/>
          <w:numId w:val="17"/>
        </w:numPr>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 xml:space="preserve">Dairy/Milk data seems to be missing or labelled differently </w:t>
      </w:r>
      <w:r w:rsidR="00772F2B">
        <w:rPr>
          <w:rFonts w:ascii="Times New Roman" w:hAnsi="Times New Roman" w:cs="Times New Roman"/>
          <w:lang w:val="en-IN"/>
        </w:rPr>
        <w:t xml:space="preserve"> </w:t>
      </w:r>
      <w:r w:rsidRPr="004F0ABA">
        <w:rPr>
          <w:rFonts w:ascii="Times New Roman" w:hAnsi="Times New Roman" w:cs="Times New Roman"/>
          <w:lang w:val="en-IN"/>
        </w:rPr>
        <w:t>we can investigate or swap another dairy product if needed</w:t>
      </w:r>
    </w:p>
    <w:p w14:paraId="7237C8E9" w14:textId="77777777" w:rsidR="00EA7960" w:rsidRPr="004F0ABA" w:rsidRDefault="00EA7960" w:rsidP="00B37F2D">
      <w:pPr>
        <w:spacing w:line="360" w:lineRule="auto"/>
        <w:ind w:left="720"/>
        <w:contextualSpacing/>
        <w:jc w:val="both"/>
        <w:rPr>
          <w:rFonts w:ascii="Times New Roman" w:hAnsi="Times New Roman" w:cs="Times New Roman"/>
          <w:lang w:val="en-IN"/>
        </w:rPr>
      </w:pPr>
    </w:p>
    <w:p w14:paraId="26601712" w14:textId="77777777" w:rsidR="001F1691" w:rsidRPr="004F0ABA" w:rsidRDefault="001F1691" w:rsidP="00B37F2D">
      <w:pPr>
        <w:spacing w:line="360" w:lineRule="auto"/>
        <w:ind w:left="720"/>
        <w:contextualSpacing/>
        <w:jc w:val="both"/>
        <w:rPr>
          <w:rFonts w:ascii="Times New Roman" w:hAnsi="Times New Roman" w:cs="Times New Roman"/>
          <w:b/>
          <w:bCs/>
          <w:sz w:val="25"/>
          <w:szCs w:val="25"/>
          <w:lang w:val="en-IN"/>
        </w:rPr>
      </w:pPr>
      <w:r w:rsidRPr="004F0ABA">
        <w:rPr>
          <w:rFonts w:ascii="Times New Roman" w:hAnsi="Times New Roman" w:cs="Times New Roman"/>
          <w:b/>
          <w:bCs/>
          <w:sz w:val="25"/>
          <w:szCs w:val="25"/>
          <w:lang w:val="en-IN"/>
        </w:rPr>
        <w:t>3.2. MLP Model Performance</w:t>
      </w:r>
    </w:p>
    <w:p w14:paraId="4F61C3F0" w14:textId="77777777" w:rsidR="001F1691" w:rsidRPr="004F0ABA" w:rsidRDefault="001F1691" w:rsidP="00B37F2D">
      <w:pPr>
        <w:spacing w:line="360" w:lineRule="auto"/>
        <w:ind w:left="720"/>
        <w:contextualSpacing/>
        <w:jc w:val="both"/>
        <w:rPr>
          <w:rFonts w:ascii="Times New Roman" w:hAnsi="Times New Roman" w:cs="Times New Roman"/>
          <w:lang w:val="en-IN"/>
        </w:rPr>
      </w:pPr>
      <w:r w:rsidRPr="004F0ABA">
        <w:rPr>
          <w:rFonts w:ascii="Times New Roman" w:hAnsi="Times New Roman" w:cs="Times New Roman"/>
          <w:lang w:val="en-IN"/>
        </w:rPr>
        <w:t>The MLP forecasting model demonstrates the following performance metrics on the test dataset:</w:t>
      </w:r>
    </w:p>
    <w:p w14:paraId="74A6A314" w14:textId="2A080023" w:rsidR="001F1691" w:rsidRPr="004F0ABA" w:rsidRDefault="001F1691" w:rsidP="00B37F2D">
      <w:pPr>
        <w:numPr>
          <w:ilvl w:val="0"/>
          <w:numId w:val="18"/>
        </w:numPr>
        <w:tabs>
          <w:tab w:val="num" w:pos="72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Overall RMSE: 0.142 (price per pound)</w:t>
      </w:r>
    </w:p>
    <w:p w14:paraId="37CB2EC0" w14:textId="77777777" w:rsidR="001F1691" w:rsidRPr="004F0ABA" w:rsidRDefault="001F1691" w:rsidP="00B37F2D">
      <w:pPr>
        <w:numPr>
          <w:ilvl w:val="0"/>
          <w:numId w:val="18"/>
        </w:numPr>
        <w:tabs>
          <w:tab w:val="num" w:pos="72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Overall MAPE: 7.8%</w:t>
      </w:r>
    </w:p>
    <w:p w14:paraId="08CD5897" w14:textId="77777777" w:rsidR="001F1691" w:rsidRPr="004F0ABA" w:rsidRDefault="001F1691" w:rsidP="00B37F2D">
      <w:pPr>
        <w:numPr>
          <w:ilvl w:val="0"/>
          <w:numId w:val="18"/>
        </w:numPr>
        <w:tabs>
          <w:tab w:val="num" w:pos="72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lastRenderedPageBreak/>
        <w:t>Directional Accuracy: 78.3%</w:t>
      </w:r>
    </w:p>
    <w:p w14:paraId="48CC4E5B" w14:textId="77777777" w:rsidR="001F1691" w:rsidRPr="004F0ABA" w:rsidRDefault="001F1691" w:rsidP="00B37F2D">
      <w:pPr>
        <w:spacing w:line="360" w:lineRule="auto"/>
        <w:ind w:left="720"/>
        <w:contextualSpacing/>
        <w:jc w:val="both"/>
        <w:rPr>
          <w:rFonts w:ascii="Times New Roman" w:hAnsi="Times New Roman" w:cs="Times New Roman"/>
          <w:lang w:val="en-IN"/>
        </w:rPr>
      </w:pPr>
      <w:r w:rsidRPr="004F0ABA">
        <w:rPr>
          <w:rFonts w:ascii="Times New Roman" w:hAnsi="Times New Roman" w:cs="Times New Roman"/>
          <w:lang w:val="en-IN"/>
        </w:rPr>
        <w:t>Performance varies significantly by product category:</w:t>
      </w:r>
    </w:p>
    <w:p w14:paraId="60E6C70F" w14:textId="77777777" w:rsidR="001F1691" w:rsidRPr="004F0ABA" w:rsidRDefault="001F1691" w:rsidP="00B37F2D">
      <w:pPr>
        <w:numPr>
          <w:ilvl w:val="0"/>
          <w:numId w:val="19"/>
        </w:numPr>
        <w:tabs>
          <w:tab w:val="num" w:pos="72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 xml:space="preserve">Fruits (Apples): MAPE = 14.2%, Directional Accuracy = 72.4% </w:t>
      </w:r>
    </w:p>
    <w:p w14:paraId="106F67AA" w14:textId="77777777" w:rsidR="001F1691" w:rsidRPr="004F0ABA" w:rsidRDefault="001F1691" w:rsidP="00B37F2D">
      <w:pPr>
        <w:numPr>
          <w:ilvl w:val="1"/>
          <w:numId w:val="19"/>
        </w:numPr>
        <w:tabs>
          <w:tab w:val="num" w:pos="144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Model struggles to capture extreme price fluctuations</w:t>
      </w:r>
    </w:p>
    <w:p w14:paraId="1CE896BD" w14:textId="77777777" w:rsidR="001F1691" w:rsidRPr="004F0ABA" w:rsidRDefault="001F1691" w:rsidP="00B37F2D">
      <w:pPr>
        <w:numPr>
          <w:ilvl w:val="1"/>
          <w:numId w:val="19"/>
        </w:numPr>
        <w:tabs>
          <w:tab w:val="num" w:pos="144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Forecast line smooths volatility, missing major price spikes and drops</w:t>
      </w:r>
    </w:p>
    <w:p w14:paraId="21EB8A0F" w14:textId="77777777" w:rsidR="001F1691" w:rsidRPr="004F0ABA" w:rsidRDefault="001F1691" w:rsidP="00B37F2D">
      <w:pPr>
        <w:numPr>
          <w:ilvl w:val="0"/>
          <w:numId w:val="19"/>
        </w:numPr>
        <w:tabs>
          <w:tab w:val="num" w:pos="72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 xml:space="preserve">Vegetables (Tomatoes): MAPE = 15.3%, Directional Accuracy = 70.1% </w:t>
      </w:r>
    </w:p>
    <w:p w14:paraId="641C1A2B" w14:textId="77777777" w:rsidR="001F1691" w:rsidRPr="004F0ABA" w:rsidRDefault="001F1691" w:rsidP="00B37F2D">
      <w:pPr>
        <w:numPr>
          <w:ilvl w:val="1"/>
          <w:numId w:val="19"/>
        </w:numPr>
        <w:tabs>
          <w:tab w:val="num" w:pos="144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Similar to apples, high volatility presents forecasting challenges</w:t>
      </w:r>
    </w:p>
    <w:p w14:paraId="2524D0B8" w14:textId="77777777" w:rsidR="001F1691" w:rsidRPr="004F0ABA" w:rsidRDefault="001F1691" w:rsidP="00B37F2D">
      <w:pPr>
        <w:numPr>
          <w:ilvl w:val="1"/>
          <w:numId w:val="19"/>
        </w:numPr>
        <w:tabs>
          <w:tab w:val="num" w:pos="144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Forecast line typically lags behind major price movements</w:t>
      </w:r>
    </w:p>
    <w:p w14:paraId="1067E84E" w14:textId="77777777" w:rsidR="001F1691" w:rsidRPr="004F0ABA" w:rsidRDefault="001F1691" w:rsidP="00B37F2D">
      <w:pPr>
        <w:numPr>
          <w:ilvl w:val="0"/>
          <w:numId w:val="19"/>
        </w:numPr>
        <w:tabs>
          <w:tab w:val="num" w:pos="72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 xml:space="preserve">Meat (Beef): MAPE = 1.74%, Directional Accuracy = 92.5% </w:t>
      </w:r>
    </w:p>
    <w:p w14:paraId="7D47BA6B" w14:textId="77777777" w:rsidR="001F1691" w:rsidRPr="004F0ABA" w:rsidRDefault="001F1691" w:rsidP="00B37F2D">
      <w:pPr>
        <w:numPr>
          <w:ilvl w:val="1"/>
          <w:numId w:val="19"/>
        </w:numPr>
        <w:tabs>
          <w:tab w:val="num" w:pos="144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Excellent performance capturing the upward price trend</w:t>
      </w:r>
    </w:p>
    <w:p w14:paraId="43C7A304" w14:textId="77777777" w:rsidR="001F1691" w:rsidRPr="004F0ABA" w:rsidRDefault="001F1691" w:rsidP="00B37F2D">
      <w:pPr>
        <w:numPr>
          <w:ilvl w:val="1"/>
          <w:numId w:val="19"/>
        </w:numPr>
        <w:tabs>
          <w:tab w:val="num" w:pos="144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Model accurately predicts the general movement with minimal lag</w:t>
      </w:r>
    </w:p>
    <w:p w14:paraId="5CC5ABF0" w14:textId="77777777" w:rsidR="001F1691" w:rsidRPr="004F0ABA" w:rsidRDefault="001F1691" w:rsidP="00B37F2D">
      <w:pPr>
        <w:numPr>
          <w:ilvl w:val="1"/>
          <w:numId w:val="19"/>
        </w:numPr>
        <w:tabs>
          <w:tab w:val="num" w:pos="1440"/>
        </w:tabs>
        <w:spacing w:line="360" w:lineRule="auto"/>
        <w:contextualSpacing/>
        <w:jc w:val="both"/>
        <w:rPr>
          <w:rFonts w:ascii="Times New Roman" w:hAnsi="Times New Roman" w:cs="Times New Roman"/>
          <w:lang w:val="en-IN"/>
        </w:rPr>
      </w:pPr>
      <w:r w:rsidRPr="004F0ABA">
        <w:rPr>
          <w:rFonts w:ascii="Times New Roman" w:hAnsi="Times New Roman" w:cs="Times New Roman"/>
          <w:lang w:val="en-IN"/>
        </w:rPr>
        <w:t>Smooths out minor fluctuations while maintaining trend accuracy</w:t>
      </w:r>
    </w:p>
    <w:p w14:paraId="3B3F46DD" w14:textId="514089F5" w:rsidR="00BC3A78" w:rsidRPr="004F0ABA" w:rsidRDefault="001F1691" w:rsidP="00B37F2D">
      <w:pPr>
        <w:spacing w:line="360" w:lineRule="auto"/>
        <w:ind w:left="1440"/>
        <w:contextualSpacing/>
        <w:jc w:val="both"/>
        <w:rPr>
          <w:rFonts w:ascii="Times New Roman" w:hAnsi="Times New Roman" w:cs="Times New Roman"/>
        </w:rPr>
      </w:pPr>
      <w:r w:rsidRPr="004F0ABA">
        <w:rPr>
          <w:rFonts w:ascii="Times New Roman" w:hAnsi="Times New Roman" w:cs="Times New Roman"/>
        </w:rPr>
        <w:t>The model shows superior performance for more stable product categories (meat) and struggles more with highly seasonal and volatile items (fruits and vegetables). The forecasting approach appears particularly well-suited for products with clearer trend patterns and lower day-to-day volatility.</w:t>
      </w:r>
    </w:p>
    <w:p w14:paraId="12B4721D" w14:textId="588A3B6A" w:rsidR="001F1691" w:rsidRPr="004F0ABA" w:rsidRDefault="00B37F2D" w:rsidP="00B37F2D">
      <w:pPr>
        <w:spacing w:line="360" w:lineRule="auto"/>
        <w:ind w:left="720"/>
        <w:contextualSpacing/>
        <w:jc w:val="both"/>
        <w:rPr>
          <w:rFonts w:ascii="Times New Roman" w:hAnsi="Times New Roman" w:cs="Times New Roman"/>
        </w:rPr>
      </w:pPr>
      <w:r w:rsidRPr="004F0ABA">
        <w:rPr>
          <w:rFonts w:ascii="Times New Roman" w:hAnsi="Times New Roman" w:cs="Times New Roman"/>
          <w:noProof/>
          <w:lang w:val="en-IN"/>
        </w:rPr>
        <w:drawing>
          <wp:inline distT="0" distB="0" distL="0" distR="0" wp14:anchorId="4A163A8F" wp14:editId="0ECE0839">
            <wp:extent cx="5074920" cy="3156102"/>
            <wp:effectExtent l="0" t="0" r="0" b="6350"/>
            <wp:docPr id="982476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76691" name="Picture 9824766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1261" cy="3160045"/>
                    </a:xfrm>
                    <a:prstGeom prst="rect">
                      <a:avLst/>
                    </a:prstGeom>
                  </pic:spPr>
                </pic:pic>
              </a:graphicData>
            </a:graphic>
          </wp:inline>
        </w:drawing>
      </w:r>
    </w:p>
    <w:p w14:paraId="6E2E9F23" w14:textId="4221B98E" w:rsidR="001F1691" w:rsidRPr="004F0ABA" w:rsidRDefault="001F1691" w:rsidP="00B37F2D">
      <w:pPr>
        <w:spacing w:line="360" w:lineRule="auto"/>
        <w:ind w:left="720"/>
        <w:contextualSpacing/>
        <w:jc w:val="both"/>
        <w:rPr>
          <w:rFonts w:ascii="Times New Roman" w:hAnsi="Times New Roman" w:cs="Times New Roman"/>
          <w:lang w:val="en-IN"/>
        </w:rPr>
      </w:pPr>
    </w:p>
    <w:p w14:paraId="52D7FB91" w14:textId="77777777" w:rsidR="00300638" w:rsidRPr="004F0ABA" w:rsidRDefault="00300638" w:rsidP="00B37F2D">
      <w:pPr>
        <w:spacing w:line="360" w:lineRule="auto"/>
        <w:jc w:val="both"/>
        <w:rPr>
          <w:rFonts w:ascii="Times New Roman" w:hAnsi="Times New Roman" w:cs="Times New Roman"/>
        </w:rPr>
      </w:pPr>
    </w:p>
    <w:p w14:paraId="5BE203C4" w14:textId="5E1FD672" w:rsidR="00300638" w:rsidRPr="004F0ABA" w:rsidRDefault="00F86CE5" w:rsidP="00B37F2D">
      <w:pPr>
        <w:spacing w:line="360" w:lineRule="auto"/>
        <w:ind w:firstLine="720"/>
        <w:jc w:val="both"/>
        <w:rPr>
          <w:rFonts w:ascii="Times New Roman" w:hAnsi="Times New Roman" w:cs="Times New Roman"/>
          <w:sz w:val="26"/>
          <w:szCs w:val="26"/>
        </w:rPr>
      </w:pPr>
      <w:r w:rsidRPr="004F0ABA">
        <w:rPr>
          <w:rFonts w:ascii="Times New Roman" w:hAnsi="Times New Roman" w:cs="Times New Roman"/>
          <w:sz w:val="26"/>
          <w:szCs w:val="26"/>
        </w:rPr>
        <w:lastRenderedPageBreak/>
        <w:t>4.</w:t>
      </w:r>
      <w:r w:rsidRPr="004F0ABA">
        <w:rPr>
          <w:rFonts w:ascii="Times New Roman" w:hAnsi="Times New Roman" w:cs="Times New Roman"/>
          <w:b/>
          <w:bCs/>
          <w:sz w:val="26"/>
          <w:szCs w:val="26"/>
        </w:rPr>
        <w:t>Discussion</w:t>
      </w:r>
    </w:p>
    <w:p w14:paraId="2F51B83B" w14:textId="52D57275" w:rsidR="00F86CE5" w:rsidRPr="004F0ABA" w:rsidRDefault="00F86CE5" w:rsidP="00B37F2D">
      <w:pPr>
        <w:spacing w:line="360" w:lineRule="auto"/>
        <w:ind w:left="720"/>
        <w:jc w:val="both"/>
        <w:rPr>
          <w:rFonts w:ascii="Times New Roman" w:hAnsi="Times New Roman" w:cs="Times New Roman"/>
          <w:lang w:val="en-IN"/>
        </w:rPr>
      </w:pPr>
      <w:r w:rsidRPr="004F0ABA">
        <w:rPr>
          <w:rFonts w:ascii="Times New Roman" w:hAnsi="Times New Roman" w:cs="Times New Roman"/>
          <w:lang w:val="en-IN"/>
        </w:rPr>
        <w:t>The results of our price surge forecasting model reveal several important insights about the predictability of different food categories and the effectiveness of machine learning approaches in capturing market volatility patterns.</w:t>
      </w:r>
    </w:p>
    <w:p w14:paraId="6D158D8B" w14:textId="77777777" w:rsidR="00F86CE5" w:rsidRPr="004F0ABA" w:rsidRDefault="00F86CE5" w:rsidP="00B37F2D">
      <w:pPr>
        <w:spacing w:line="360" w:lineRule="auto"/>
        <w:ind w:firstLine="720"/>
        <w:jc w:val="both"/>
        <w:rPr>
          <w:rFonts w:ascii="Times New Roman" w:hAnsi="Times New Roman" w:cs="Times New Roman"/>
          <w:b/>
          <w:bCs/>
          <w:sz w:val="25"/>
          <w:szCs w:val="25"/>
          <w:lang w:val="en-IN"/>
        </w:rPr>
      </w:pPr>
      <w:r w:rsidRPr="004F0ABA">
        <w:rPr>
          <w:rFonts w:ascii="Times New Roman" w:hAnsi="Times New Roman" w:cs="Times New Roman"/>
          <w:b/>
          <w:bCs/>
          <w:sz w:val="25"/>
          <w:szCs w:val="25"/>
          <w:lang w:val="en-IN"/>
        </w:rPr>
        <w:t>4.1. Commodity-Specific Performance Analysis</w:t>
      </w:r>
    </w:p>
    <w:p w14:paraId="6EE3ECBA" w14:textId="390E9411" w:rsidR="00F86CE5" w:rsidRPr="004F0ABA" w:rsidRDefault="00F86CE5" w:rsidP="00B37F2D">
      <w:pPr>
        <w:spacing w:line="360" w:lineRule="auto"/>
        <w:ind w:left="720"/>
        <w:jc w:val="both"/>
        <w:rPr>
          <w:rFonts w:ascii="Times New Roman" w:hAnsi="Times New Roman" w:cs="Times New Roman"/>
          <w:lang w:val="en-IN"/>
        </w:rPr>
      </w:pPr>
      <w:r w:rsidRPr="004F0ABA">
        <w:rPr>
          <w:rFonts w:ascii="Times New Roman" w:hAnsi="Times New Roman" w:cs="Times New Roman"/>
          <w:lang w:val="en-IN"/>
        </w:rPr>
        <w:t>The stark difference in prediction accuracy between meat products and produce highlights the underlying complexity of different supply chains and their respective sensitivity to external factors. Beef prices demonstrated remarkable predictability (MAPE 1.74%), suggesting that meat products may follow more structured and predictable pricing patterns, potentially due to:</w:t>
      </w:r>
    </w:p>
    <w:p w14:paraId="38FD96AE" w14:textId="77777777" w:rsidR="00F86CE5" w:rsidRPr="004F0ABA" w:rsidRDefault="00F86CE5" w:rsidP="00B37F2D">
      <w:pPr>
        <w:numPr>
          <w:ilvl w:val="0"/>
          <w:numId w:val="20"/>
        </w:numPr>
        <w:spacing w:line="360" w:lineRule="auto"/>
        <w:jc w:val="both"/>
        <w:rPr>
          <w:rFonts w:ascii="Times New Roman" w:hAnsi="Times New Roman" w:cs="Times New Roman"/>
          <w:lang w:val="en-IN"/>
        </w:rPr>
      </w:pPr>
      <w:r w:rsidRPr="004F0ABA">
        <w:rPr>
          <w:rFonts w:ascii="Times New Roman" w:hAnsi="Times New Roman" w:cs="Times New Roman"/>
          <w:lang w:val="en-IN"/>
        </w:rPr>
        <w:t>Longer production cycles that buffer against short-term shocks</w:t>
      </w:r>
    </w:p>
    <w:p w14:paraId="738A5578" w14:textId="77777777" w:rsidR="00F86CE5" w:rsidRPr="004F0ABA" w:rsidRDefault="00F86CE5" w:rsidP="00B37F2D">
      <w:pPr>
        <w:numPr>
          <w:ilvl w:val="0"/>
          <w:numId w:val="20"/>
        </w:numPr>
        <w:spacing w:line="360" w:lineRule="auto"/>
        <w:jc w:val="both"/>
        <w:rPr>
          <w:rFonts w:ascii="Times New Roman" w:hAnsi="Times New Roman" w:cs="Times New Roman"/>
          <w:lang w:val="en-IN"/>
        </w:rPr>
      </w:pPr>
      <w:r w:rsidRPr="004F0ABA">
        <w:rPr>
          <w:rFonts w:ascii="Times New Roman" w:hAnsi="Times New Roman" w:cs="Times New Roman"/>
          <w:lang w:val="en-IN"/>
        </w:rPr>
        <w:t>More consolidated industry structure with fewer producers</w:t>
      </w:r>
    </w:p>
    <w:p w14:paraId="1CFDC8A5" w14:textId="77777777" w:rsidR="00F86CE5" w:rsidRPr="004F0ABA" w:rsidRDefault="00F86CE5" w:rsidP="00B37F2D">
      <w:pPr>
        <w:numPr>
          <w:ilvl w:val="0"/>
          <w:numId w:val="20"/>
        </w:numPr>
        <w:spacing w:line="360" w:lineRule="auto"/>
        <w:jc w:val="both"/>
        <w:rPr>
          <w:rFonts w:ascii="Times New Roman" w:hAnsi="Times New Roman" w:cs="Times New Roman"/>
          <w:lang w:val="en-IN"/>
        </w:rPr>
      </w:pPr>
      <w:r w:rsidRPr="004F0ABA">
        <w:rPr>
          <w:rFonts w:ascii="Times New Roman" w:hAnsi="Times New Roman" w:cs="Times New Roman"/>
          <w:lang w:val="en-IN"/>
        </w:rPr>
        <w:t>More standardized distribution channels</w:t>
      </w:r>
    </w:p>
    <w:p w14:paraId="4F0712B8" w14:textId="77777777" w:rsidR="00F86CE5" w:rsidRPr="004F0ABA" w:rsidRDefault="00F86CE5" w:rsidP="00B37F2D">
      <w:pPr>
        <w:numPr>
          <w:ilvl w:val="0"/>
          <w:numId w:val="20"/>
        </w:numPr>
        <w:spacing w:line="360" w:lineRule="auto"/>
        <w:jc w:val="both"/>
        <w:rPr>
          <w:rFonts w:ascii="Times New Roman" w:hAnsi="Times New Roman" w:cs="Times New Roman"/>
          <w:lang w:val="en-IN"/>
        </w:rPr>
      </w:pPr>
      <w:r w:rsidRPr="004F0ABA">
        <w:rPr>
          <w:rFonts w:ascii="Times New Roman" w:hAnsi="Times New Roman" w:cs="Times New Roman"/>
          <w:lang w:val="en-IN"/>
        </w:rPr>
        <w:t>Less immediate impact from seasonal weather variations</w:t>
      </w:r>
    </w:p>
    <w:p w14:paraId="5D660032" w14:textId="77777777" w:rsidR="00F86CE5" w:rsidRPr="004F0ABA" w:rsidRDefault="00F86CE5" w:rsidP="00B37F2D">
      <w:pPr>
        <w:spacing w:line="360" w:lineRule="auto"/>
        <w:ind w:left="720"/>
        <w:jc w:val="both"/>
        <w:rPr>
          <w:rFonts w:ascii="Times New Roman" w:hAnsi="Times New Roman" w:cs="Times New Roman"/>
          <w:lang w:val="en-IN"/>
        </w:rPr>
      </w:pPr>
      <w:r w:rsidRPr="004F0ABA">
        <w:rPr>
          <w:rFonts w:ascii="Times New Roman" w:hAnsi="Times New Roman" w:cs="Times New Roman"/>
          <w:lang w:val="en-IN"/>
        </w:rPr>
        <w:t>In contrast, the higher error rates for apples (MAPE 14.2%) and tomatoes (MAPE 15.3%) reflect the inherent challenges in predicting fresh produce prices, which are subject to:</w:t>
      </w:r>
    </w:p>
    <w:p w14:paraId="2D2278D3" w14:textId="77777777" w:rsidR="00F86CE5" w:rsidRPr="004F0ABA" w:rsidRDefault="00F86CE5" w:rsidP="00B37F2D">
      <w:pPr>
        <w:numPr>
          <w:ilvl w:val="0"/>
          <w:numId w:val="21"/>
        </w:numPr>
        <w:tabs>
          <w:tab w:val="num" w:pos="720"/>
        </w:tabs>
        <w:spacing w:line="360" w:lineRule="auto"/>
        <w:jc w:val="both"/>
        <w:rPr>
          <w:rFonts w:ascii="Times New Roman" w:hAnsi="Times New Roman" w:cs="Times New Roman"/>
          <w:lang w:val="en-IN"/>
        </w:rPr>
      </w:pPr>
      <w:r w:rsidRPr="004F0ABA">
        <w:rPr>
          <w:rFonts w:ascii="Times New Roman" w:hAnsi="Times New Roman" w:cs="Times New Roman"/>
          <w:lang w:val="en-IN"/>
        </w:rPr>
        <w:t>Highly variable growing conditions and weather dependencies</w:t>
      </w:r>
    </w:p>
    <w:p w14:paraId="1E81F765" w14:textId="77777777" w:rsidR="00F86CE5" w:rsidRPr="004F0ABA" w:rsidRDefault="00F86CE5" w:rsidP="00B37F2D">
      <w:pPr>
        <w:numPr>
          <w:ilvl w:val="0"/>
          <w:numId w:val="21"/>
        </w:numPr>
        <w:tabs>
          <w:tab w:val="num" w:pos="720"/>
        </w:tabs>
        <w:spacing w:line="360" w:lineRule="auto"/>
        <w:jc w:val="both"/>
        <w:rPr>
          <w:rFonts w:ascii="Times New Roman" w:hAnsi="Times New Roman" w:cs="Times New Roman"/>
          <w:lang w:val="en-IN"/>
        </w:rPr>
      </w:pPr>
      <w:r w:rsidRPr="004F0ABA">
        <w:rPr>
          <w:rFonts w:ascii="Times New Roman" w:hAnsi="Times New Roman" w:cs="Times New Roman"/>
          <w:lang w:val="en-IN"/>
        </w:rPr>
        <w:t>Shorter shelf-life requiring rapid distribution</w:t>
      </w:r>
    </w:p>
    <w:p w14:paraId="7AFC8EC4" w14:textId="77777777" w:rsidR="00F86CE5" w:rsidRPr="004F0ABA" w:rsidRDefault="00F86CE5" w:rsidP="00B37F2D">
      <w:pPr>
        <w:numPr>
          <w:ilvl w:val="0"/>
          <w:numId w:val="21"/>
        </w:numPr>
        <w:tabs>
          <w:tab w:val="num" w:pos="720"/>
        </w:tabs>
        <w:spacing w:line="360" w:lineRule="auto"/>
        <w:jc w:val="both"/>
        <w:rPr>
          <w:rFonts w:ascii="Times New Roman" w:hAnsi="Times New Roman" w:cs="Times New Roman"/>
          <w:lang w:val="en-IN"/>
        </w:rPr>
      </w:pPr>
      <w:r w:rsidRPr="004F0ABA">
        <w:rPr>
          <w:rFonts w:ascii="Times New Roman" w:hAnsi="Times New Roman" w:cs="Times New Roman"/>
          <w:lang w:val="en-IN"/>
        </w:rPr>
        <w:t>More fragmented supply chains with numerous small-scale producers</w:t>
      </w:r>
    </w:p>
    <w:p w14:paraId="45FDF46E" w14:textId="77777777" w:rsidR="00F86CE5" w:rsidRPr="004F0ABA" w:rsidRDefault="00F86CE5" w:rsidP="00B37F2D">
      <w:pPr>
        <w:numPr>
          <w:ilvl w:val="0"/>
          <w:numId w:val="21"/>
        </w:numPr>
        <w:tabs>
          <w:tab w:val="num" w:pos="720"/>
        </w:tabs>
        <w:spacing w:line="360" w:lineRule="auto"/>
        <w:jc w:val="both"/>
        <w:rPr>
          <w:rFonts w:ascii="Times New Roman" w:hAnsi="Times New Roman" w:cs="Times New Roman"/>
          <w:lang w:val="en-IN"/>
        </w:rPr>
      </w:pPr>
      <w:r w:rsidRPr="004F0ABA">
        <w:rPr>
          <w:rFonts w:ascii="Times New Roman" w:hAnsi="Times New Roman" w:cs="Times New Roman"/>
          <w:lang w:val="en-IN"/>
        </w:rPr>
        <w:t>Greater sensitivity to sudden climate events and transportation disruptions</w:t>
      </w:r>
    </w:p>
    <w:p w14:paraId="3A970A49" w14:textId="77777777" w:rsidR="00F86CE5" w:rsidRPr="004F0ABA" w:rsidRDefault="00F86CE5" w:rsidP="00B37F2D">
      <w:pPr>
        <w:spacing w:line="360" w:lineRule="auto"/>
        <w:ind w:firstLine="720"/>
        <w:jc w:val="both"/>
        <w:rPr>
          <w:rFonts w:ascii="Times New Roman" w:hAnsi="Times New Roman" w:cs="Times New Roman"/>
          <w:b/>
          <w:bCs/>
          <w:lang w:val="en-IN"/>
        </w:rPr>
      </w:pPr>
      <w:r w:rsidRPr="004F0ABA">
        <w:rPr>
          <w:rFonts w:ascii="Times New Roman" w:hAnsi="Times New Roman" w:cs="Times New Roman"/>
          <w:b/>
          <w:bCs/>
          <w:lang w:val="en-IN"/>
        </w:rPr>
        <w:t>4.2. Model Limitations and Strengths</w:t>
      </w:r>
    </w:p>
    <w:p w14:paraId="4F7262B1" w14:textId="77777777" w:rsidR="00F86CE5" w:rsidRPr="004F0ABA" w:rsidRDefault="00F86CE5" w:rsidP="00B37F2D">
      <w:pPr>
        <w:spacing w:line="360" w:lineRule="auto"/>
        <w:ind w:firstLine="720"/>
        <w:jc w:val="both"/>
        <w:rPr>
          <w:rFonts w:ascii="Times New Roman" w:hAnsi="Times New Roman" w:cs="Times New Roman"/>
          <w:lang w:val="en-IN"/>
        </w:rPr>
      </w:pPr>
      <w:r w:rsidRPr="004F0ABA">
        <w:rPr>
          <w:rFonts w:ascii="Times New Roman" w:hAnsi="Times New Roman" w:cs="Times New Roman"/>
          <w:lang w:val="en-IN"/>
        </w:rPr>
        <w:t>The MLP forecasting approach demonstrated several strengths, particularly its ability to:</w:t>
      </w:r>
    </w:p>
    <w:p w14:paraId="18B7526C" w14:textId="77777777" w:rsidR="00EA7960" w:rsidRPr="004F0ABA" w:rsidRDefault="00F86CE5" w:rsidP="00B37F2D">
      <w:pPr>
        <w:numPr>
          <w:ilvl w:val="0"/>
          <w:numId w:val="22"/>
        </w:numPr>
        <w:tabs>
          <w:tab w:val="num" w:pos="720"/>
        </w:tabs>
        <w:spacing w:line="360" w:lineRule="auto"/>
        <w:jc w:val="both"/>
        <w:rPr>
          <w:rFonts w:ascii="Times New Roman" w:hAnsi="Times New Roman" w:cs="Times New Roman"/>
          <w:lang w:val="en-IN"/>
        </w:rPr>
      </w:pPr>
      <w:r w:rsidRPr="004F0ABA">
        <w:rPr>
          <w:rFonts w:ascii="Times New Roman" w:hAnsi="Times New Roman" w:cs="Times New Roman"/>
          <w:lang w:val="en-IN"/>
        </w:rPr>
        <w:t>Capture general market trends with good directional accuracy (78.3% overall)</w:t>
      </w:r>
    </w:p>
    <w:p w14:paraId="43D43136" w14:textId="32F5BF44" w:rsidR="00F86CE5" w:rsidRPr="004F0ABA" w:rsidRDefault="00F86CE5" w:rsidP="00B37F2D">
      <w:pPr>
        <w:numPr>
          <w:ilvl w:val="0"/>
          <w:numId w:val="22"/>
        </w:numPr>
        <w:tabs>
          <w:tab w:val="num" w:pos="720"/>
        </w:tabs>
        <w:spacing w:line="360" w:lineRule="auto"/>
        <w:jc w:val="both"/>
        <w:rPr>
          <w:rFonts w:ascii="Times New Roman" w:hAnsi="Times New Roman" w:cs="Times New Roman"/>
          <w:lang w:val="en-IN"/>
        </w:rPr>
      </w:pPr>
      <w:r w:rsidRPr="004F0ABA">
        <w:rPr>
          <w:rFonts w:ascii="Times New Roman" w:hAnsi="Times New Roman" w:cs="Times New Roman"/>
          <w:lang w:val="en-IN"/>
        </w:rPr>
        <w:t>Excel at predicting stable commodities with clear trend patterns</w:t>
      </w:r>
    </w:p>
    <w:p w14:paraId="3E70CF3E" w14:textId="77777777" w:rsidR="00F86CE5" w:rsidRPr="004F0ABA" w:rsidRDefault="00F86CE5" w:rsidP="00B37F2D">
      <w:pPr>
        <w:numPr>
          <w:ilvl w:val="0"/>
          <w:numId w:val="22"/>
        </w:numPr>
        <w:tabs>
          <w:tab w:val="num" w:pos="720"/>
        </w:tabs>
        <w:spacing w:line="360" w:lineRule="auto"/>
        <w:jc w:val="both"/>
        <w:rPr>
          <w:rFonts w:ascii="Times New Roman" w:hAnsi="Times New Roman" w:cs="Times New Roman"/>
          <w:lang w:val="en-IN"/>
        </w:rPr>
      </w:pPr>
      <w:r w:rsidRPr="004F0ABA">
        <w:rPr>
          <w:rFonts w:ascii="Times New Roman" w:hAnsi="Times New Roman" w:cs="Times New Roman"/>
          <w:lang w:val="en-IN"/>
        </w:rPr>
        <w:lastRenderedPageBreak/>
        <w:t>Integrate multiple feature types into a unified prediction framework</w:t>
      </w:r>
    </w:p>
    <w:p w14:paraId="08CB4336" w14:textId="77777777" w:rsidR="00F86CE5" w:rsidRPr="004F0ABA" w:rsidRDefault="00F86CE5" w:rsidP="00B37F2D">
      <w:pPr>
        <w:spacing w:line="360" w:lineRule="auto"/>
        <w:ind w:firstLine="720"/>
        <w:jc w:val="both"/>
        <w:rPr>
          <w:rFonts w:ascii="Times New Roman" w:hAnsi="Times New Roman" w:cs="Times New Roman"/>
          <w:lang w:val="en-IN"/>
        </w:rPr>
      </w:pPr>
      <w:r w:rsidRPr="004F0ABA">
        <w:rPr>
          <w:rFonts w:ascii="Times New Roman" w:hAnsi="Times New Roman" w:cs="Times New Roman"/>
          <w:lang w:val="en-IN"/>
        </w:rPr>
        <w:t>However, several limitations were also observed:</w:t>
      </w:r>
    </w:p>
    <w:p w14:paraId="78DE1F3E" w14:textId="77777777" w:rsidR="00F86CE5" w:rsidRPr="004F0ABA" w:rsidRDefault="00F86CE5" w:rsidP="00B37F2D">
      <w:pPr>
        <w:numPr>
          <w:ilvl w:val="0"/>
          <w:numId w:val="23"/>
        </w:numPr>
        <w:tabs>
          <w:tab w:val="num" w:pos="720"/>
        </w:tabs>
        <w:spacing w:line="360" w:lineRule="auto"/>
        <w:jc w:val="both"/>
        <w:rPr>
          <w:rFonts w:ascii="Times New Roman" w:hAnsi="Times New Roman" w:cs="Times New Roman"/>
          <w:lang w:val="en-IN"/>
        </w:rPr>
      </w:pPr>
      <w:r w:rsidRPr="004F0ABA">
        <w:rPr>
          <w:rFonts w:ascii="Times New Roman" w:hAnsi="Times New Roman" w:cs="Times New Roman"/>
          <w:lang w:val="en-IN"/>
        </w:rPr>
        <w:t>Tendency to smooth extreme price fluctuations, particularly in volatile categories</w:t>
      </w:r>
    </w:p>
    <w:p w14:paraId="7C61894D" w14:textId="77777777" w:rsidR="00F86CE5" w:rsidRPr="004F0ABA" w:rsidRDefault="00F86CE5" w:rsidP="00B37F2D">
      <w:pPr>
        <w:numPr>
          <w:ilvl w:val="0"/>
          <w:numId w:val="23"/>
        </w:numPr>
        <w:tabs>
          <w:tab w:val="num" w:pos="720"/>
        </w:tabs>
        <w:spacing w:line="360" w:lineRule="auto"/>
        <w:jc w:val="both"/>
        <w:rPr>
          <w:rFonts w:ascii="Times New Roman" w:hAnsi="Times New Roman" w:cs="Times New Roman"/>
          <w:lang w:val="en-IN"/>
        </w:rPr>
      </w:pPr>
      <w:r w:rsidRPr="004F0ABA">
        <w:rPr>
          <w:rFonts w:ascii="Times New Roman" w:hAnsi="Times New Roman" w:cs="Times New Roman"/>
          <w:lang w:val="en-IN"/>
        </w:rPr>
        <w:t>Reactive rather than proactive response to sudden market shifts</w:t>
      </w:r>
    </w:p>
    <w:p w14:paraId="44DD51DF" w14:textId="77777777" w:rsidR="00F86CE5" w:rsidRPr="004F0ABA" w:rsidRDefault="00F86CE5" w:rsidP="00B37F2D">
      <w:pPr>
        <w:numPr>
          <w:ilvl w:val="0"/>
          <w:numId w:val="23"/>
        </w:numPr>
        <w:tabs>
          <w:tab w:val="num" w:pos="720"/>
        </w:tabs>
        <w:spacing w:line="360" w:lineRule="auto"/>
        <w:jc w:val="both"/>
        <w:rPr>
          <w:rFonts w:ascii="Times New Roman" w:hAnsi="Times New Roman" w:cs="Times New Roman"/>
          <w:lang w:val="en-IN"/>
        </w:rPr>
      </w:pPr>
      <w:r w:rsidRPr="004F0ABA">
        <w:rPr>
          <w:rFonts w:ascii="Times New Roman" w:hAnsi="Times New Roman" w:cs="Times New Roman"/>
          <w:lang w:val="en-IN"/>
        </w:rPr>
        <w:t>Limited ability to incorporate qualitative factors such as consumer sentiment or political developments</w:t>
      </w:r>
    </w:p>
    <w:p w14:paraId="799ABE6F" w14:textId="77777777" w:rsidR="00F86CE5" w:rsidRPr="004F0ABA" w:rsidRDefault="00F86CE5" w:rsidP="00B37F2D">
      <w:pPr>
        <w:numPr>
          <w:ilvl w:val="0"/>
          <w:numId w:val="23"/>
        </w:numPr>
        <w:tabs>
          <w:tab w:val="num" w:pos="720"/>
        </w:tabs>
        <w:spacing w:line="360" w:lineRule="auto"/>
        <w:jc w:val="both"/>
        <w:rPr>
          <w:rFonts w:ascii="Times New Roman" w:hAnsi="Times New Roman" w:cs="Times New Roman"/>
          <w:lang w:val="en-IN"/>
        </w:rPr>
      </w:pPr>
      <w:r w:rsidRPr="004F0ABA">
        <w:rPr>
          <w:rFonts w:ascii="Times New Roman" w:hAnsi="Times New Roman" w:cs="Times New Roman"/>
          <w:lang w:val="en-IN"/>
        </w:rPr>
        <w:t>Lag in detecting initial price movements resulting from new tariff implementations</w:t>
      </w:r>
    </w:p>
    <w:p w14:paraId="24854148" w14:textId="77777777" w:rsidR="00C75FEB" w:rsidRPr="004F0ABA" w:rsidRDefault="00C75FEB" w:rsidP="00B37F2D">
      <w:pPr>
        <w:spacing w:line="360" w:lineRule="auto"/>
        <w:jc w:val="both"/>
        <w:rPr>
          <w:rFonts w:ascii="Times New Roman" w:hAnsi="Times New Roman" w:cs="Times New Roman"/>
        </w:rPr>
      </w:pPr>
    </w:p>
    <w:p w14:paraId="0FE557BF" w14:textId="439EA977" w:rsidR="00F86CE5" w:rsidRPr="004F0ABA" w:rsidRDefault="00F86CE5" w:rsidP="00B37F2D">
      <w:pPr>
        <w:pStyle w:val="ListParagraph"/>
        <w:numPr>
          <w:ilvl w:val="0"/>
          <w:numId w:val="21"/>
        </w:numPr>
        <w:spacing w:line="360" w:lineRule="auto"/>
        <w:jc w:val="both"/>
        <w:rPr>
          <w:rFonts w:ascii="Times New Roman" w:hAnsi="Times New Roman" w:cs="Times New Roman"/>
          <w:b/>
          <w:bCs/>
          <w:sz w:val="26"/>
          <w:szCs w:val="26"/>
          <w:lang w:val="en-IN"/>
        </w:rPr>
      </w:pPr>
      <w:r w:rsidRPr="004F0ABA">
        <w:rPr>
          <w:rFonts w:ascii="Times New Roman" w:hAnsi="Times New Roman" w:cs="Times New Roman"/>
          <w:b/>
          <w:bCs/>
          <w:sz w:val="26"/>
          <w:szCs w:val="26"/>
          <w:lang w:val="en-IN"/>
        </w:rPr>
        <w:t>Conclusion:</w:t>
      </w:r>
    </w:p>
    <w:p w14:paraId="5CEEAA72" w14:textId="77777777" w:rsidR="00EA7960" w:rsidRPr="004F0ABA" w:rsidRDefault="00EA7960" w:rsidP="00B37F2D">
      <w:pPr>
        <w:pStyle w:val="ListParagraph"/>
        <w:spacing w:line="360" w:lineRule="auto"/>
        <w:ind w:left="1080"/>
        <w:jc w:val="both"/>
        <w:rPr>
          <w:rFonts w:ascii="Times New Roman" w:hAnsi="Times New Roman" w:cs="Times New Roman"/>
          <w:b/>
          <w:bCs/>
          <w:sz w:val="26"/>
          <w:szCs w:val="26"/>
          <w:lang w:val="en-IN"/>
        </w:rPr>
      </w:pPr>
    </w:p>
    <w:p w14:paraId="6C63E205" w14:textId="77777777" w:rsidR="00F86CE5" w:rsidRPr="004F0ABA" w:rsidRDefault="00F86CE5" w:rsidP="00B37F2D">
      <w:pPr>
        <w:pStyle w:val="ListParagraph"/>
        <w:spacing w:line="360" w:lineRule="auto"/>
        <w:jc w:val="both"/>
        <w:rPr>
          <w:rFonts w:ascii="Times New Roman" w:hAnsi="Times New Roman" w:cs="Times New Roman"/>
          <w:lang w:val="en-IN"/>
        </w:rPr>
      </w:pPr>
      <w:r w:rsidRPr="004F0ABA">
        <w:rPr>
          <w:rFonts w:ascii="Times New Roman" w:hAnsi="Times New Roman" w:cs="Times New Roman"/>
          <w:lang w:val="en-IN"/>
        </w:rPr>
        <w:t>This research demonstrates that machine learning approaches, particularly Multi-Layer Perceptron models, can effectively forecast price movements in food commodities affected by tariffs and market volatility. The findings reveal that prediction accuracy varies significantly by product category, with more stable commodities like beef showing excellent predictability while highly seasonal produce presents greater forecasting challenges.</w:t>
      </w:r>
    </w:p>
    <w:p w14:paraId="669544F3" w14:textId="77777777" w:rsidR="00EA7960" w:rsidRPr="004F0ABA" w:rsidRDefault="00EA7960" w:rsidP="00B37F2D">
      <w:pPr>
        <w:pStyle w:val="ListParagraph"/>
        <w:spacing w:line="360" w:lineRule="auto"/>
        <w:jc w:val="both"/>
        <w:rPr>
          <w:rFonts w:ascii="Times New Roman" w:hAnsi="Times New Roman" w:cs="Times New Roman"/>
          <w:lang w:val="en-IN"/>
        </w:rPr>
      </w:pPr>
    </w:p>
    <w:p w14:paraId="4EE2DD64" w14:textId="4B0DAC3C" w:rsidR="00F86CE5" w:rsidRPr="004F0ABA" w:rsidRDefault="00F86CE5" w:rsidP="00B37F2D">
      <w:pPr>
        <w:pStyle w:val="ListParagraph"/>
        <w:spacing w:line="360" w:lineRule="auto"/>
        <w:jc w:val="both"/>
        <w:rPr>
          <w:rFonts w:ascii="Times New Roman" w:hAnsi="Times New Roman" w:cs="Times New Roman"/>
          <w:lang w:val="en-IN"/>
        </w:rPr>
      </w:pPr>
      <w:r w:rsidRPr="004F0ABA">
        <w:rPr>
          <w:rFonts w:ascii="Times New Roman" w:hAnsi="Times New Roman" w:cs="Times New Roman"/>
          <w:lang w:val="en-IN"/>
        </w:rPr>
        <w:t>Key conclusions include:</w:t>
      </w:r>
    </w:p>
    <w:p w14:paraId="70541DAA" w14:textId="77777777" w:rsidR="00F86CE5" w:rsidRPr="004F0ABA" w:rsidRDefault="00F86CE5" w:rsidP="00B37F2D">
      <w:pPr>
        <w:pStyle w:val="ListParagraph"/>
        <w:numPr>
          <w:ilvl w:val="0"/>
          <w:numId w:val="24"/>
        </w:numPr>
        <w:spacing w:line="360" w:lineRule="auto"/>
        <w:jc w:val="both"/>
        <w:rPr>
          <w:rFonts w:ascii="Times New Roman" w:hAnsi="Times New Roman" w:cs="Times New Roman"/>
          <w:lang w:val="en-IN"/>
        </w:rPr>
      </w:pPr>
      <w:r w:rsidRPr="004F0ABA">
        <w:rPr>
          <w:rFonts w:ascii="Times New Roman" w:hAnsi="Times New Roman" w:cs="Times New Roman"/>
          <w:lang w:val="en-IN"/>
        </w:rPr>
        <w:t>Machine learning models can provide valuable early warnings of price volatility resulting from trade policies, particularly for products with stable supply chains.</w:t>
      </w:r>
    </w:p>
    <w:p w14:paraId="660308E1" w14:textId="3C3D8F63" w:rsidR="00F86CE5" w:rsidRPr="004F0ABA" w:rsidRDefault="00F86CE5" w:rsidP="00B37F2D">
      <w:pPr>
        <w:pStyle w:val="ListParagraph"/>
        <w:numPr>
          <w:ilvl w:val="0"/>
          <w:numId w:val="24"/>
        </w:numPr>
        <w:spacing w:line="360" w:lineRule="auto"/>
        <w:jc w:val="both"/>
        <w:rPr>
          <w:rFonts w:ascii="Times New Roman" w:hAnsi="Times New Roman" w:cs="Times New Roman"/>
          <w:lang w:val="en-IN"/>
        </w:rPr>
      </w:pPr>
      <w:r w:rsidRPr="004F0ABA">
        <w:rPr>
          <w:rFonts w:ascii="Times New Roman" w:hAnsi="Times New Roman" w:cs="Times New Roman"/>
          <w:lang w:val="en-IN"/>
        </w:rPr>
        <w:t xml:space="preserve">Different food categories exhibit distinct responsiveness to tariff implementations, requiring category-specific </w:t>
      </w:r>
      <w:r w:rsidR="005F3A33" w:rsidRPr="004F0ABA">
        <w:rPr>
          <w:rFonts w:ascii="Times New Roman" w:hAnsi="Times New Roman" w:cs="Times New Roman"/>
          <w:lang w:val="en-IN"/>
        </w:rPr>
        <w:t>modelling</w:t>
      </w:r>
      <w:r w:rsidRPr="004F0ABA">
        <w:rPr>
          <w:rFonts w:ascii="Times New Roman" w:hAnsi="Times New Roman" w:cs="Times New Roman"/>
          <w:lang w:val="en-IN"/>
        </w:rPr>
        <w:t xml:space="preserve"> approaches rather than one-size-fits-all solutions.</w:t>
      </w:r>
    </w:p>
    <w:p w14:paraId="1D787EF9" w14:textId="77777777" w:rsidR="00F86CE5" w:rsidRPr="004F0ABA" w:rsidRDefault="00F86CE5" w:rsidP="00B37F2D">
      <w:pPr>
        <w:pStyle w:val="ListParagraph"/>
        <w:numPr>
          <w:ilvl w:val="0"/>
          <w:numId w:val="24"/>
        </w:numPr>
        <w:spacing w:line="360" w:lineRule="auto"/>
        <w:jc w:val="both"/>
        <w:rPr>
          <w:rFonts w:ascii="Times New Roman" w:hAnsi="Times New Roman" w:cs="Times New Roman"/>
          <w:lang w:val="en-IN"/>
        </w:rPr>
      </w:pPr>
      <w:r w:rsidRPr="004F0ABA">
        <w:rPr>
          <w:rFonts w:ascii="Times New Roman" w:hAnsi="Times New Roman" w:cs="Times New Roman"/>
          <w:lang w:val="en-IN"/>
        </w:rPr>
        <w:t>The demonstrated forecasting framework achieves practical utility with an overall directional accuracy of 78.3%, making it suitable for strategic planning applications in procurement, inventory management, and policy analysis.</w:t>
      </w:r>
    </w:p>
    <w:p w14:paraId="32ABEB21" w14:textId="77777777" w:rsidR="00F86CE5" w:rsidRPr="004F0ABA" w:rsidRDefault="00F86CE5" w:rsidP="00B37F2D">
      <w:pPr>
        <w:pStyle w:val="ListParagraph"/>
        <w:numPr>
          <w:ilvl w:val="0"/>
          <w:numId w:val="24"/>
        </w:numPr>
        <w:spacing w:line="360" w:lineRule="auto"/>
        <w:jc w:val="both"/>
        <w:rPr>
          <w:rFonts w:ascii="Times New Roman" w:hAnsi="Times New Roman" w:cs="Times New Roman"/>
          <w:lang w:val="en-IN"/>
        </w:rPr>
      </w:pPr>
      <w:r w:rsidRPr="004F0ABA">
        <w:rPr>
          <w:rFonts w:ascii="Times New Roman" w:hAnsi="Times New Roman" w:cs="Times New Roman"/>
          <w:lang w:val="en-IN"/>
        </w:rPr>
        <w:t>Models require regular retraining and updating as market conditions evolve, particularly following major policy shifts or supply chain disruptions.</w:t>
      </w:r>
    </w:p>
    <w:p w14:paraId="53CE137B" w14:textId="77777777" w:rsidR="00EA7960" w:rsidRPr="004F0ABA" w:rsidRDefault="00EA7960" w:rsidP="00B37F2D">
      <w:pPr>
        <w:pStyle w:val="ListParagraph"/>
        <w:spacing w:line="360" w:lineRule="auto"/>
        <w:jc w:val="both"/>
        <w:rPr>
          <w:rFonts w:ascii="Times New Roman" w:hAnsi="Times New Roman" w:cs="Times New Roman"/>
          <w:lang w:val="en-IN"/>
        </w:rPr>
      </w:pPr>
    </w:p>
    <w:p w14:paraId="08680E35" w14:textId="4E66AB7F" w:rsidR="00F86CE5" w:rsidRPr="004F0ABA" w:rsidRDefault="00F86CE5" w:rsidP="00B37F2D">
      <w:pPr>
        <w:pStyle w:val="ListParagraph"/>
        <w:spacing w:line="360" w:lineRule="auto"/>
        <w:jc w:val="both"/>
        <w:rPr>
          <w:rFonts w:ascii="Times New Roman" w:hAnsi="Times New Roman" w:cs="Times New Roman"/>
          <w:lang w:val="en-IN"/>
        </w:rPr>
      </w:pPr>
      <w:r w:rsidRPr="004F0ABA">
        <w:rPr>
          <w:rFonts w:ascii="Times New Roman" w:hAnsi="Times New Roman" w:cs="Times New Roman"/>
          <w:lang w:val="en-IN"/>
        </w:rPr>
        <w:t>These insights can help businesses develop more resilient procurement strategies, assist policymakers in understanding the potential price impacts of trade decisions, and provide consumers with tools to anticipate and prepare for price fluctuations in essential goods.</w:t>
      </w:r>
    </w:p>
    <w:p w14:paraId="515E1DCA" w14:textId="77777777" w:rsidR="00380F5B" w:rsidRPr="004F0ABA" w:rsidRDefault="00380F5B" w:rsidP="00B37F2D">
      <w:pPr>
        <w:pStyle w:val="ListParagraph"/>
        <w:spacing w:line="360" w:lineRule="auto"/>
        <w:jc w:val="both"/>
        <w:rPr>
          <w:rFonts w:ascii="Times New Roman" w:hAnsi="Times New Roman" w:cs="Times New Roman"/>
        </w:rPr>
      </w:pPr>
    </w:p>
    <w:p w14:paraId="433B882F" w14:textId="53A31AD3" w:rsidR="00C75FEB" w:rsidRPr="004F0ABA" w:rsidRDefault="00C75FEB" w:rsidP="00B37F2D">
      <w:pPr>
        <w:spacing w:line="360" w:lineRule="auto"/>
        <w:ind w:left="720"/>
        <w:jc w:val="both"/>
        <w:rPr>
          <w:rFonts w:ascii="Times New Roman" w:hAnsi="Times New Roman" w:cs="Times New Roman"/>
        </w:rPr>
      </w:pPr>
      <w:r w:rsidRPr="004F0ABA">
        <w:rPr>
          <w:rFonts w:ascii="Times New Roman" w:hAnsi="Times New Roman" w:cs="Times New Roman"/>
          <w:b/>
          <w:bCs/>
        </w:rPr>
        <w:t>Funding</w:t>
      </w:r>
      <w:r w:rsidRPr="004F0ABA">
        <w:rPr>
          <w:rFonts w:ascii="Times New Roman" w:hAnsi="Times New Roman" w:cs="Times New Roman"/>
        </w:rPr>
        <w:t>: This research received no external funding</w:t>
      </w:r>
    </w:p>
    <w:p w14:paraId="7F36B3D2" w14:textId="2AC21595" w:rsidR="000D60DA" w:rsidRPr="004F0ABA" w:rsidRDefault="005A24EB" w:rsidP="00B37F2D">
      <w:pPr>
        <w:spacing w:line="360" w:lineRule="auto"/>
        <w:ind w:left="720"/>
        <w:jc w:val="both"/>
        <w:rPr>
          <w:rFonts w:ascii="Times New Roman" w:hAnsi="Times New Roman" w:cs="Times New Roman"/>
          <w:lang w:val="en-IN"/>
        </w:rPr>
      </w:pPr>
      <w:r w:rsidRPr="004F0ABA">
        <w:rPr>
          <w:rFonts w:ascii="Times New Roman" w:hAnsi="Times New Roman" w:cs="Times New Roman"/>
          <w:b/>
          <w:bCs/>
        </w:rPr>
        <w:t>Acknowledgments</w:t>
      </w:r>
      <w:r w:rsidRPr="004F0ABA">
        <w:rPr>
          <w:rFonts w:ascii="Times New Roman" w:hAnsi="Times New Roman" w:cs="Times New Roman"/>
        </w:rPr>
        <w:t xml:space="preserve">: </w:t>
      </w:r>
      <w:r w:rsidR="00F86CE5" w:rsidRPr="004F0ABA">
        <w:rPr>
          <w:rFonts w:ascii="Times New Roman" w:hAnsi="Times New Roman" w:cs="Times New Roman"/>
          <w:lang w:val="en-IN"/>
        </w:rPr>
        <w:t xml:space="preserve">We would like to convey our heartfelt gratitude to “Professor Reda </w:t>
      </w:r>
      <w:proofErr w:type="spellStart"/>
      <w:r w:rsidR="00F86CE5" w:rsidRPr="004F0ABA">
        <w:rPr>
          <w:rFonts w:ascii="Times New Roman" w:hAnsi="Times New Roman" w:cs="Times New Roman"/>
          <w:lang w:val="en-IN"/>
        </w:rPr>
        <w:t>Mastouri</w:t>
      </w:r>
      <w:proofErr w:type="spellEnd"/>
      <w:r w:rsidR="00F86CE5" w:rsidRPr="004F0ABA">
        <w:rPr>
          <w:rFonts w:ascii="Times New Roman" w:hAnsi="Times New Roman" w:cs="Times New Roman"/>
          <w:lang w:val="en-IN"/>
        </w:rPr>
        <w:t xml:space="preserve">” for his essential assistance, mentorship, and consistent support throughout this project. His excellent knowledge of Data Science and intelligent insights considerably increased the quality of this job. His perseverance, helpful criticism, and commitment laid the groundwork for this initiative, for which I am also thankful. </w:t>
      </w:r>
    </w:p>
    <w:p w14:paraId="240994F1" w14:textId="7E2BE614" w:rsidR="00A060BA" w:rsidRPr="004F0ABA" w:rsidRDefault="00A060BA" w:rsidP="00B37F2D">
      <w:pPr>
        <w:spacing w:line="360" w:lineRule="auto"/>
        <w:ind w:left="720"/>
        <w:jc w:val="both"/>
        <w:rPr>
          <w:rFonts w:ascii="Times New Roman" w:hAnsi="Times New Roman" w:cs="Times New Roman"/>
        </w:rPr>
      </w:pPr>
      <w:r w:rsidRPr="004F0ABA">
        <w:rPr>
          <w:rFonts w:ascii="Times New Roman" w:hAnsi="Times New Roman" w:cs="Times New Roman"/>
          <w:b/>
          <w:bCs/>
        </w:rPr>
        <w:t>Conflicts of Interest</w:t>
      </w:r>
      <w:r w:rsidRPr="004F0ABA">
        <w:rPr>
          <w:rFonts w:ascii="Times New Roman" w:hAnsi="Times New Roman" w:cs="Times New Roman"/>
        </w:rPr>
        <w:t>: The authors declare no conflicts of interest. The funders had no role in the design of the study; in the collection, analyses, or interpretation of data; in the writing of the manuscript; or in the decision to publish the results</w:t>
      </w:r>
    </w:p>
    <w:p w14:paraId="7B30A24C" w14:textId="77777777" w:rsidR="00A060BA" w:rsidRPr="004F0ABA" w:rsidRDefault="00A060BA" w:rsidP="00B37F2D">
      <w:pPr>
        <w:spacing w:line="360" w:lineRule="auto"/>
        <w:jc w:val="both"/>
        <w:rPr>
          <w:rFonts w:ascii="Times New Roman" w:hAnsi="Times New Roman" w:cs="Times New Roman"/>
        </w:rPr>
      </w:pPr>
    </w:p>
    <w:p w14:paraId="7C8EEF3B" w14:textId="77777777" w:rsidR="00D773FE" w:rsidRPr="004F0ABA" w:rsidRDefault="00D773FE" w:rsidP="00B37F2D">
      <w:pPr>
        <w:spacing w:line="360" w:lineRule="auto"/>
        <w:jc w:val="both"/>
        <w:rPr>
          <w:rFonts w:ascii="Times New Roman" w:hAnsi="Times New Roman" w:cs="Times New Roman"/>
          <w:b/>
          <w:bCs/>
        </w:rPr>
      </w:pPr>
    </w:p>
    <w:p w14:paraId="3BC20E28" w14:textId="77777777" w:rsidR="00EA7960" w:rsidRPr="004F0ABA" w:rsidRDefault="00EA7960" w:rsidP="00B37F2D">
      <w:pPr>
        <w:spacing w:line="360" w:lineRule="auto"/>
        <w:jc w:val="both"/>
        <w:rPr>
          <w:rFonts w:ascii="Times New Roman" w:hAnsi="Times New Roman" w:cs="Times New Roman"/>
          <w:b/>
          <w:bCs/>
        </w:rPr>
      </w:pPr>
    </w:p>
    <w:p w14:paraId="5F577CF1" w14:textId="77777777" w:rsidR="00EA7960" w:rsidRPr="004F0ABA" w:rsidRDefault="00EA7960" w:rsidP="00B37F2D">
      <w:pPr>
        <w:spacing w:line="360" w:lineRule="auto"/>
        <w:jc w:val="both"/>
        <w:rPr>
          <w:rFonts w:ascii="Times New Roman" w:hAnsi="Times New Roman" w:cs="Times New Roman"/>
          <w:b/>
          <w:bCs/>
        </w:rPr>
      </w:pPr>
    </w:p>
    <w:p w14:paraId="36A3A6D0" w14:textId="77777777" w:rsidR="00EA7960" w:rsidRPr="004F0ABA" w:rsidRDefault="00EA7960" w:rsidP="00B37F2D">
      <w:pPr>
        <w:spacing w:line="360" w:lineRule="auto"/>
        <w:jc w:val="both"/>
        <w:rPr>
          <w:rFonts w:ascii="Times New Roman" w:hAnsi="Times New Roman" w:cs="Times New Roman"/>
          <w:b/>
          <w:bCs/>
        </w:rPr>
      </w:pPr>
    </w:p>
    <w:p w14:paraId="11F809B8" w14:textId="77777777" w:rsidR="00EA7960" w:rsidRPr="004F0ABA" w:rsidRDefault="00EA7960" w:rsidP="00B37F2D">
      <w:pPr>
        <w:spacing w:line="360" w:lineRule="auto"/>
        <w:jc w:val="both"/>
        <w:rPr>
          <w:rFonts w:ascii="Times New Roman" w:hAnsi="Times New Roman" w:cs="Times New Roman"/>
          <w:b/>
          <w:bCs/>
        </w:rPr>
      </w:pPr>
    </w:p>
    <w:p w14:paraId="6409DFE4" w14:textId="77777777" w:rsidR="00EA7960" w:rsidRPr="004F0ABA" w:rsidRDefault="00EA7960" w:rsidP="00B37F2D">
      <w:pPr>
        <w:spacing w:line="360" w:lineRule="auto"/>
        <w:jc w:val="both"/>
        <w:rPr>
          <w:rFonts w:ascii="Times New Roman" w:hAnsi="Times New Roman" w:cs="Times New Roman"/>
          <w:b/>
          <w:bCs/>
        </w:rPr>
      </w:pPr>
    </w:p>
    <w:p w14:paraId="2F15DBB0" w14:textId="77777777" w:rsidR="00EA7960" w:rsidRPr="004F0ABA" w:rsidRDefault="00EA7960" w:rsidP="00B37F2D">
      <w:pPr>
        <w:spacing w:line="360" w:lineRule="auto"/>
        <w:jc w:val="both"/>
        <w:rPr>
          <w:rFonts w:ascii="Times New Roman" w:hAnsi="Times New Roman" w:cs="Times New Roman"/>
          <w:b/>
          <w:bCs/>
        </w:rPr>
      </w:pPr>
    </w:p>
    <w:p w14:paraId="47C72DD9" w14:textId="77777777" w:rsidR="00EA7960" w:rsidRPr="004F0ABA" w:rsidRDefault="00EA7960" w:rsidP="00B37F2D">
      <w:pPr>
        <w:spacing w:line="360" w:lineRule="auto"/>
        <w:jc w:val="both"/>
        <w:rPr>
          <w:rFonts w:ascii="Times New Roman" w:hAnsi="Times New Roman" w:cs="Times New Roman"/>
          <w:b/>
          <w:bCs/>
        </w:rPr>
      </w:pPr>
    </w:p>
    <w:p w14:paraId="31F48A5D" w14:textId="77777777" w:rsidR="00EA7960" w:rsidRPr="004F0ABA" w:rsidRDefault="00EA7960" w:rsidP="00B37F2D">
      <w:pPr>
        <w:spacing w:line="360" w:lineRule="auto"/>
        <w:jc w:val="both"/>
        <w:rPr>
          <w:rFonts w:ascii="Times New Roman" w:hAnsi="Times New Roman" w:cs="Times New Roman"/>
          <w:b/>
          <w:bCs/>
        </w:rPr>
      </w:pPr>
    </w:p>
    <w:p w14:paraId="46622301" w14:textId="77777777" w:rsidR="00EA7960" w:rsidRDefault="00EA7960" w:rsidP="00B37F2D">
      <w:pPr>
        <w:spacing w:line="360" w:lineRule="auto"/>
        <w:jc w:val="both"/>
        <w:rPr>
          <w:rFonts w:ascii="Times New Roman" w:hAnsi="Times New Roman" w:cs="Times New Roman"/>
          <w:b/>
          <w:bCs/>
        </w:rPr>
      </w:pPr>
    </w:p>
    <w:p w14:paraId="172B6A1D" w14:textId="77777777" w:rsidR="00285FD8" w:rsidRPr="004F0ABA" w:rsidRDefault="00285FD8" w:rsidP="00B37F2D">
      <w:pPr>
        <w:spacing w:line="360" w:lineRule="auto"/>
        <w:jc w:val="both"/>
        <w:rPr>
          <w:rFonts w:ascii="Times New Roman" w:hAnsi="Times New Roman" w:cs="Times New Roman"/>
          <w:b/>
          <w:bCs/>
        </w:rPr>
      </w:pPr>
    </w:p>
    <w:p w14:paraId="79F87A0D" w14:textId="04D26F68" w:rsidR="00A61A36" w:rsidRPr="004F0ABA" w:rsidRDefault="00A61A36" w:rsidP="00B37F2D">
      <w:pPr>
        <w:pStyle w:val="ListParagraph"/>
        <w:numPr>
          <w:ilvl w:val="0"/>
          <w:numId w:val="21"/>
        </w:numPr>
        <w:spacing w:line="360" w:lineRule="auto"/>
        <w:jc w:val="both"/>
        <w:rPr>
          <w:rFonts w:ascii="Times New Roman" w:hAnsi="Times New Roman" w:cs="Times New Roman"/>
          <w:b/>
          <w:bCs/>
          <w:sz w:val="26"/>
          <w:szCs w:val="26"/>
        </w:rPr>
      </w:pPr>
      <w:r w:rsidRPr="004F0ABA">
        <w:rPr>
          <w:rFonts w:ascii="Times New Roman" w:hAnsi="Times New Roman" w:cs="Times New Roman"/>
          <w:b/>
          <w:bCs/>
          <w:sz w:val="26"/>
          <w:szCs w:val="26"/>
        </w:rPr>
        <w:t xml:space="preserve">References </w:t>
      </w:r>
    </w:p>
    <w:p w14:paraId="61A5F0E5" w14:textId="77777777" w:rsidR="00EA7960" w:rsidRPr="004F0ABA" w:rsidRDefault="00EA7960" w:rsidP="00B37F2D">
      <w:pPr>
        <w:pStyle w:val="ListParagraph"/>
        <w:spacing w:line="360" w:lineRule="auto"/>
        <w:ind w:left="1080"/>
        <w:jc w:val="both"/>
        <w:rPr>
          <w:rFonts w:ascii="Times New Roman" w:hAnsi="Times New Roman" w:cs="Times New Roman"/>
          <w:b/>
          <w:bCs/>
          <w:sz w:val="26"/>
          <w:szCs w:val="26"/>
        </w:rPr>
      </w:pPr>
    </w:p>
    <w:p w14:paraId="52200B36" w14:textId="77777777" w:rsidR="00686DCC" w:rsidRPr="004F0ABA" w:rsidRDefault="00686DCC" w:rsidP="00686DCC">
      <w:pPr>
        <w:pStyle w:val="ListParagraph"/>
        <w:numPr>
          <w:ilvl w:val="0"/>
          <w:numId w:val="27"/>
        </w:numPr>
        <w:spacing w:line="276" w:lineRule="auto"/>
        <w:rPr>
          <w:rFonts w:ascii="Times New Roman" w:hAnsi="Times New Roman" w:cs="Times New Roman"/>
        </w:rPr>
      </w:pPr>
      <w:proofErr w:type="spellStart"/>
      <w:r w:rsidRPr="004F0ABA">
        <w:rPr>
          <w:rFonts w:ascii="Times New Roman" w:hAnsi="Times New Roman" w:cs="Times New Roman"/>
        </w:rPr>
        <w:t>Çakır</w:t>
      </w:r>
      <w:proofErr w:type="spellEnd"/>
      <w:r w:rsidRPr="004F0ABA">
        <w:rPr>
          <w:rFonts w:ascii="Times New Roman" w:hAnsi="Times New Roman" w:cs="Times New Roman"/>
        </w:rPr>
        <w:t xml:space="preserve">, M., Pérez, A. M., Arita, S., Cooper, J., &amp; Boehm, R. N. (2024). </w:t>
      </w:r>
      <w:r w:rsidRPr="004F0ABA">
        <w:rPr>
          <w:rFonts w:ascii="Times New Roman" w:hAnsi="Times New Roman" w:cs="Times New Roman"/>
          <w:i/>
        </w:rPr>
        <w:t>Perspectives on high U.S. retail food prices during 2020–2022</w:t>
      </w:r>
      <w:r w:rsidRPr="004F0ABA">
        <w:rPr>
          <w:rFonts w:ascii="Times New Roman" w:hAnsi="Times New Roman" w:cs="Times New Roman"/>
        </w:rPr>
        <w:t>. Food Policy, 124, 102765.</w:t>
      </w:r>
      <w:hyperlink r:id="rId8">
        <w:r w:rsidRPr="004F0ABA">
          <w:rPr>
            <w:rFonts w:ascii="Times New Roman" w:hAnsi="Times New Roman" w:cs="Times New Roman"/>
          </w:rPr>
          <w:t xml:space="preserve"> </w:t>
        </w:r>
      </w:hyperlink>
      <w:hyperlink r:id="rId9">
        <w:r w:rsidRPr="004F0ABA">
          <w:rPr>
            <w:rFonts w:ascii="Times New Roman" w:hAnsi="Times New Roman" w:cs="Times New Roman"/>
            <w:color w:val="1155CC"/>
            <w:u w:val="single"/>
          </w:rPr>
          <w:t>https://doi.org/10.1016/j.foodpol.2024.102765</w:t>
        </w:r>
      </w:hyperlink>
    </w:p>
    <w:p w14:paraId="325B09DC" w14:textId="77777777" w:rsidR="00686DCC" w:rsidRPr="004F0ABA" w:rsidRDefault="00686DCC" w:rsidP="001805B6">
      <w:pPr>
        <w:spacing w:line="276" w:lineRule="auto"/>
        <w:ind w:left="360"/>
        <w:rPr>
          <w:rFonts w:ascii="Times New Roman" w:hAnsi="Times New Roman" w:cs="Times New Roman"/>
        </w:rPr>
      </w:pPr>
    </w:p>
    <w:p w14:paraId="69961556" w14:textId="77777777" w:rsidR="00686DCC" w:rsidRPr="004F0ABA" w:rsidRDefault="00686DCC" w:rsidP="00686DCC">
      <w:pPr>
        <w:pStyle w:val="ListParagraph"/>
        <w:numPr>
          <w:ilvl w:val="0"/>
          <w:numId w:val="27"/>
        </w:numPr>
        <w:spacing w:line="276" w:lineRule="auto"/>
        <w:rPr>
          <w:rFonts w:ascii="Times New Roman" w:hAnsi="Times New Roman" w:cs="Times New Roman"/>
        </w:rPr>
      </w:pPr>
      <w:r w:rsidRPr="004F0ABA">
        <w:rPr>
          <w:rFonts w:ascii="Times New Roman" w:hAnsi="Times New Roman" w:cs="Times New Roman"/>
        </w:rPr>
        <w:t xml:space="preserve">Brander, M., Bernauer, T., &amp; Huss, M. (2023). Trade policy announcements can increase price volatility in global food commodity markets. </w:t>
      </w:r>
      <w:r w:rsidRPr="004F0ABA">
        <w:rPr>
          <w:rFonts w:ascii="Times New Roman" w:hAnsi="Times New Roman" w:cs="Times New Roman"/>
          <w:i/>
        </w:rPr>
        <w:t>Nature Food, 4</w:t>
      </w:r>
      <w:r w:rsidRPr="004F0ABA">
        <w:rPr>
          <w:rFonts w:ascii="Times New Roman" w:hAnsi="Times New Roman" w:cs="Times New Roman"/>
        </w:rPr>
        <w:t xml:space="preserve">(1), 69–77. </w:t>
      </w:r>
      <w:hyperlink r:id="rId10">
        <w:r w:rsidRPr="004F0ABA">
          <w:rPr>
            <w:rFonts w:ascii="Times New Roman" w:hAnsi="Times New Roman" w:cs="Times New Roman"/>
            <w:color w:val="1155CC"/>
            <w:u w:val="single"/>
          </w:rPr>
          <w:t>https://doi.org/10.1038/s43016-023-00729-6</w:t>
        </w:r>
      </w:hyperlink>
    </w:p>
    <w:p w14:paraId="3DBD6AF8" w14:textId="77777777" w:rsidR="00686DCC" w:rsidRPr="004F0ABA" w:rsidRDefault="00686DCC" w:rsidP="00686DCC">
      <w:pPr>
        <w:spacing w:line="276" w:lineRule="auto"/>
        <w:rPr>
          <w:rFonts w:ascii="Times New Roman" w:hAnsi="Times New Roman" w:cs="Times New Roman"/>
        </w:rPr>
      </w:pPr>
    </w:p>
    <w:p w14:paraId="26BD870F" w14:textId="77777777" w:rsidR="00686DCC" w:rsidRPr="004F0ABA" w:rsidRDefault="00686DCC" w:rsidP="00686DCC">
      <w:pPr>
        <w:pStyle w:val="ListParagraph"/>
        <w:numPr>
          <w:ilvl w:val="0"/>
          <w:numId w:val="27"/>
        </w:numPr>
        <w:spacing w:line="276" w:lineRule="auto"/>
        <w:rPr>
          <w:rFonts w:ascii="Times New Roman" w:hAnsi="Times New Roman" w:cs="Times New Roman"/>
        </w:rPr>
      </w:pPr>
      <w:r w:rsidRPr="004F0ABA">
        <w:rPr>
          <w:rFonts w:ascii="Times New Roman" w:hAnsi="Times New Roman" w:cs="Times New Roman"/>
        </w:rPr>
        <w:t xml:space="preserve">Cheng, N. F. L., Hasanov, A. S., Poon, W. C., &amp; Bouri, E. (2023). The U.S.–China trade war and the volatility linkages between energy and agricultural commodities. </w:t>
      </w:r>
      <w:r w:rsidRPr="004F0ABA">
        <w:rPr>
          <w:rFonts w:ascii="Times New Roman" w:hAnsi="Times New Roman" w:cs="Times New Roman"/>
          <w:i/>
        </w:rPr>
        <w:t>Energy Economics, 117</w:t>
      </w:r>
      <w:r w:rsidRPr="004F0ABA">
        <w:rPr>
          <w:rFonts w:ascii="Times New Roman" w:hAnsi="Times New Roman" w:cs="Times New Roman"/>
        </w:rPr>
        <w:t xml:space="preserve">, 106540. </w:t>
      </w:r>
    </w:p>
    <w:p w14:paraId="4FF3118E" w14:textId="3240A8D6" w:rsidR="00686DCC" w:rsidRPr="004F0ABA" w:rsidRDefault="00A54FF1" w:rsidP="00267F51">
      <w:pPr>
        <w:pStyle w:val="ListParagraph"/>
        <w:spacing w:line="276" w:lineRule="auto"/>
        <w:ind w:left="1080"/>
        <w:rPr>
          <w:rFonts w:ascii="Times New Roman" w:hAnsi="Times New Roman" w:cs="Times New Roman"/>
        </w:rPr>
      </w:pPr>
      <w:hyperlink r:id="rId11" w:history="1">
        <w:r w:rsidRPr="004F0ABA">
          <w:rPr>
            <w:rStyle w:val="Hyperlink"/>
            <w:rFonts w:ascii="Times New Roman" w:hAnsi="Times New Roman" w:cs="Times New Roman"/>
          </w:rPr>
          <w:t>https://doi.org/10.1016/j.eneco.2023.106605</w:t>
        </w:r>
      </w:hyperlink>
    </w:p>
    <w:p w14:paraId="3AF55CE3" w14:textId="77777777" w:rsidR="00686DCC" w:rsidRPr="004F0ABA" w:rsidRDefault="00686DCC" w:rsidP="00686DCC">
      <w:pPr>
        <w:spacing w:line="276" w:lineRule="auto"/>
        <w:rPr>
          <w:rFonts w:ascii="Times New Roman" w:hAnsi="Times New Roman" w:cs="Times New Roman"/>
        </w:rPr>
      </w:pPr>
    </w:p>
    <w:p w14:paraId="02BE6E5C" w14:textId="5883A878" w:rsidR="00686DCC" w:rsidRPr="004F0ABA" w:rsidRDefault="00686DCC" w:rsidP="00267F51">
      <w:pPr>
        <w:pStyle w:val="ListParagraph"/>
        <w:numPr>
          <w:ilvl w:val="0"/>
          <w:numId w:val="27"/>
        </w:numPr>
        <w:spacing w:line="276" w:lineRule="auto"/>
        <w:rPr>
          <w:rFonts w:ascii="Times New Roman" w:hAnsi="Times New Roman" w:cs="Times New Roman"/>
        </w:rPr>
      </w:pPr>
      <w:r w:rsidRPr="004F0ABA">
        <w:rPr>
          <w:rFonts w:ascii="Times New Roman" w:hAnsi="Times New Roman" w:cs="Times New Roman"/>
        </w:rPr>
        <w:t xml:space="preserve">Mrabet, Z., </w:t>
      </w:r>
      <w:proofErr w:type="spellStart"/>
      <w:r w:rsidRPr="004F0ABA">
        <w:rPr>
          <w:rFonts w:ascii="Times New Roman" w:hAnsi="Times New Roman" w:cs="Times New Roman"/>
        </w:rPr>
        <w:t>Alsamara</w:t>
      </w:r>
      <w:proofErr w:type="spellEnd"/>
      <w:r w:rsidRPr="004F0ABA">
        <w:rPr>
          <w:rFonts w:ascii="Times New Roman" w:hAnsi="Times New Roman" w:cs="Times New Roman"/>
        </w:rPr>
        <w:t xml:space="preserve">, M., Mimouni, K., &amp; Awwad, A. (2024). Do supply chain pressures affect consumer prices in major economies? New evidence from time-varying causality analysis. </w:t>
      </w:r>
      <w:r w:rsidRPr="004F0ABA">
        <w:rPr>
          <w:rFonts w:ascii="Times New Roman" w:hAnsi="Times New Roman" w:cs="Times New Roman"/>
          <w:i/>
        </w:rPr>
        <w:t>Economic Modelling, 134</w:t>
      </w:r>
      <w:r w:rsidRPr="004F0ABA">
        <w:rPr>
          <w:rFonts w:ascii="Times New Roman" w:hAnsi="Times New Roman" w:cs="Times New Roman"/>
        </w:rPr>
        <w:t>, 106914.</w:t>
      </w:r>
      <w:hyperlink r:id="rId12">
        <w:r w:rsidRPr="004F0ABA">
          <w:rPr>
            <w:rFonts w:ascii="Times New Roman" w:hAnsi="Times New Roman" w:cs="Times New Roman"/>
          </w:rPr>
          <w:t xml:space="preserve"> </w:t>
        </w:r>
      </w:hyperlink>
      <w:hyperlink r:id="rId13" w:history="1">
        <w:r w:rsidR="00267F51" w:rsidRPr="004F0ABA">
          <w:rPr>
            <w:rStyle w:val="Hyperlink"/>
            <w:rFonts w:ascii="Times New Roman" w:hAnsi="Times New Roman" w:cs="Times New Roman"/>
          </w:rPr>
          <w:t>https://doi.org/10.1016/j.econmod.2024.106914</w:t>
        </w:r>
      </w:hyperlink>
    </w:p>
    <w:p w14:paraId="62F3EF5D" w14:textId="77777777" w:rsidR="00C37B1E" w:rsidRDefault="00C37B1E" w:rsidP="00C37B1E">
      <w:pPr>
        <w:pStyle w:val="ListParagraph"/>
        <w:spacing w:line="360" w:lineRule="auto"/>
        <w:ind w:left="1080"/>
        <w:jc w:val="both"/>
        <w:rPr>
          <w:rFonts w:ascii="Times New Roman" w:hAnsi="Times New Roman" w:cs="Times New Roman"/>
          <w:lang w:val="en-IN"/>
        </w:rPr>
      </w:pPr>
    </w:p>
    <w:p w14:paraId="28A4D1A3" w14:textId="018EEBAD" w:rsidR="00C37B1E" w:rsidRPr="004F0ABA" w:rsidRDefault="00C37B1E" w:rsidP="00C37B1E">
      <w:pPr>
        <w:pStyle w:val="ListParagraph"/>
        <w:numPr>
          <w:ilvl w:val="0"/>
          <w:numId w:val="27"/>
        </w:numPr>
        <w:spacing w:line="360" w:lineRule="auto"/>
        <w:jc w:val="both"/>
        <w:rPr>
          <w:rFonts w:ascii="Times New Roman" w:hAnsi="Times New Roman" w:cs="Times New Roman"/>
          <w:lang w:val="en-IN"/>
        </w:rPr>
      </w:pPr>
      <w:proofErr w:type="spellStart"/>
      <w:r w:rsidRPr="004F0ABA">
        <w:rPr>
          <w:rFonts w:ascii="Times New Roman" w:hAnsi="Times New Roman" w:cs="Times New Roman"/>
          <w:lang w:val="en-IN"/>
        </w:rPr>
        <w:t>Maclachlan</w:t>
      </w:r>
      <w:proofErr w:type="spellEnd"/>
      <w:r w:rsidRPr="004F0ABA">
        <w:rPr>
          <w:rFonts w:ascii="Times New Roman" w:hAnsi="Times New Roman" w:cs="Times New Roman"/>
          <w:lang w:val="en-IN"/>
        </w:rPr>
        <w:t xml:space="preserve">, M., Chelius, C., &amp; Short, G. (1957). Time-Series Methods for Forecasting and </w:t>
      </w:r>
      <w:proofErr w:type="spellStart"/>
      <w:r w:rsidRPr="004F0ABA">
        <w:rPr>
          <w:rFonts w:ascii="Times New Roman" w:hAnsi="Times New Roman" w:cs="Times New Roman"/>
          <w:lang w:val="en-IN"/>
        </w:rPr>
        <w:t>Modeling</w:t>
      </w:r>
      <w:proofErr w:type="spellEnd"/>
      <w:r w:rsidRPr="004F0ABA">
        <w:rPr>
          <w:rFonts w:ascii="Times New Roman" w:hAnsi="Times New Roman" w:cs="Times New Roman"/>
          <w:lang w:val="en-IN"/>
        </w:rPr>
        <w:t xml:space="preserve"> Uncertainty in the Food Price Outlook. In </w:t>
      </w:r>
      <w:r w:rsidRPr="004F0ABA">
        <w:rPr>
          <w:rFonts w:ascii="Times New Roman" w:hAnsi="Times New Roman" w:cs="Times New Roman"/>
          <w:i/>
          <w:iCs/>
          <w:lang w:val="en-IN"/>
        </w:rPr>
        <w:t>Economic Research Service Technical Bulletin Number</w:t>
      </w:r>
      <w:r w:rsidRPr="004F0ABA">
        <w:rPr>
          <w:rFonts w:ascii="Times New Roman" w:hAnsi="Times New Roman" w:cs="Times New Roman"/>
          <w:lang w:val="en-IN"/>
        </w:rPr>
        <w:t xml:space="preserve">. </w:t>
      </w:r>
    </w:p>
    <w:p w14:paraId="560B10C3" w14:textId="77777777" w:rsidR="00C37B1E" w:rsidRPr="004F0ABA" w:rsidRDefault="00C37B1E" w:rsidP="00C37B1E">
      <w:pPr>
        <w:pStyle w:val="ListParagraph"/>
        <w:spacing w:line="360" w:lineRule="auto"/>
        <w:ind w:left="1080"/>
        <w:jc w:val="both"/>
        <w:rPr>
          <w:rFonts w:ascii="Times New Roman" w:hAnsi="Times New Roman" w:cs="Times New Roman"/>
          <w:lang w:val="en-IN"/>
        </w:rPr>
      </w:pPr>
      <w:hyperlink r:id="rId14" w:history="1">
        <w:r w:rsidRPr="004F0ABA">
          <w:rPr>
            <w:rStyle w:val="Hyperlink"/>
            <w:rFonts w:ascii="Times New Roman" w:hAnsi="Times New Roman" w:cs="Times New Roman"/>
            <w:lang w:val="en-IN"/>
          </w:rPr>
          <w:t>https://ers.usda.gov/sites/default/files/_laserfiche/publications/104491/TB-1957.pdf?v=84633</w:t>
        </w:r>
      </w:hyperlink>
    </w:p>
    <w:p w14:paraId="5E9C6303" w14:textId="77777777" w:rsidR="00686DCC" w:rsidRPr="004F0ABA" w:rsidRDefault="00686DCC" w:rsidP="00C37B1E">
      <w:pPr>
        <w:spacing w:line="276" w:lineRule="auto"/>
        <w:ind w:left="720"/>
        <w:rPr>
          <w:rFonts w:ascii="Times New Roman" w:hAnsi="Times New Roman" w:cs="Times New Roman"/>
        </w:rPr>
      </w:pPr>
    </w:p>
    <w:p w14:paraId="308F4EA6" w14:textId="77777777" w:rsidR="00686DCC" w:rsidRPr="004F0ABA" w:rsidRDefault="00686DCC" w:rsidP="00686DCC">
      <w:pPr>
        <w:pStyle w:val="ListParagraph"/>
        <w:numPr>
          <w:ilvl w:val="0"/>
          <w:numId w:val="27"/>
        </w:numPr>
        <w:spacing w:line="276" w:lineRule="auto"/>
        <w:rPr>
          <w:rFonts w:ascii="Times New Roman" w:hAnsi="Times New Roman" w:cs="Times New Roman"/>
        </w:rPr>
      </w:pPr>
      <w:r w:rsidRPr="004F0ABA">
        <w:rPr>
          <w:rFonts w:ascii="Times New Roman" w:hAnsi="Times New Roman" w:cs="Times New Roman"/>
        </w:rPr>
        <w:t xml:space="preserve">Espitia, A., Rocha, N., &amp; Ruta, M. (2020). </w:t>
      </w:r>
      <w:r w:rsidRPr="00C37B1E">
        <w:rPr>
          <w:rFonts w:ascii="Times New Roman" w:hAnsi="Times New Roman" w:cs="Times New Roman"/>
          <w:i/>
        </w:rPr>
        <w:t>Covid-19 and food protectionism: The impact of the pandemic and export restrictions on world food markets</w:t>
      </w:r>
      <w:r w:rsidRPr="004F0ABA">
        <w:rPr>
          <w:rFonts w:ascii="Times New Roman" w:hAnsi="Times New Roman" w:cs="Times New Roman"/>
        </w:rPr>
        <w:t xml:space="preserve"> (Policy Research Working Paper No. 9253). World Bank. </w:t>
      </w:r>
    </w:p>
    <w:p w14:paraId="2ABC1473" w14:textId="6B28A08B" w:rsidR="00A54FF1" w:rsidRPr="004F0ABA" w:rsidRDefault="00A54FF1" w:rsidP="00A54FF1">
      <w:pPr>
        <w:pStyle w:val="ListParagraph"/>
        <w:spacing w:line="276" w:lineRule="auto"/>
        <w:ind w:left="1080"/>
        <w:rPr>
          <w:rFonts w:ascii="Times New Roman" w:hAnsi="Times New Roman" w:cs="Times New Roman"/>
          <w:color w:val="1155CC"/>
          <w:u w:val="single"/>
        </w:rPr>
      </w:pPr>
      <w:hyperlink r:id="rId15" w:history="1">
        <w:r w:rsidRPr="004F0ABA">
          <w:rPr>
            <w:rStyle w:val="Hyperlink"/>
            <w:rFonts w:ascii="Times New Roman" w:hAnsi="Times New Roman" w:cs="Times New Roman"/>
          </w:rPr>
          <w:t>https://doi.org/10.1596/1813-9450-9253</w:t>
        </w:r>
      </w:hyperlink>
    </w:p>
    <w:p w14:paraId="07303084" w14:textId="77777777" w:rsidR="00A54FF1" w:rsidRPr="004F0ABA" w:rsidRDefault="00A54FF1" w:rsidP="00A54FF1">
      <w:pPr>
        <w:pStyle w:val="ListParagraph"/>
        <w:spacing w:line="360" w:lineRule="auto"/>
        <w:ind w:left="1080"/>
        <w:jc w:val="both"/>
        <w:rPr>
          <w:rFonts w:ascii="Times New Roman" w:hAnsi="Times New Roman" w:cs="Times New Roman"/>
          <w:lang w:val="en-IN"/>
        </w:rPr>
      </w:pPr>
    </w:p>
    <w:p w14:paraId="5140A352" w14:textId="77777777" w:rsidR="00A54FF1" w:rsidRPr="004F0ABA" w:rsidRDefault="00A54FF1" w:rsidP="00A54FF1">
      <w:pPr>
        <w:pStyle w:val="ListParagraph"/>
        <w:numPr>
          <w:ilvl w:val="0"/>
          <w:numId w:val="27"/>
        </w:numPr>
        <w:spacing w:line="360" w:lineRule="auto"/>
        <w:jc w:val="both"/>
        <w:rPr>
          <w:rFonts w:ascii="Times New Roman" w:hAnsi="Times New Roman" w:cs="Times New Roman"/>
          <w:lang w:val="en-IN"/>
        </w:rPr>
      </w:pPr>
      <w:r w:rsidRPr="004F0ABA">
        <w:rPr>
          <w:rFonts w:ascii="Times New Roman" w:hAnsi="Times New Roman" w:cs="Times New Roman"/>
          <w:i/>
          <w:iCs/>
          <w:lang w:val="en-IN"/>
        </w:rPr>
        <w:lastRenderedPageBreak/>
        <w:t>Market News</w:t>
      </w:r>
      <w:r w:rsidRPr="004F0ABA">
        <w:rPr>
          <w:rFonts w:ascii="Times New Roman" w:hAnsi="Times New Roman" w:cs="Times New Roman"/>
          <w:lang w:val="en-IN"/>
        </w:rPr>
        <w:t xml:space="preserve">. (2020). Usda.gov. </w:t>
      </w:r>
    </w:p>
    <w:p w14:paraId="7AE6335F" w14:textId="68E811E4" w:rsidR="00A54FF1" w:rsidRPr="004F0ABA" w:rsidRDefault="00A54FF1" w:rsidP="00A54FF1">
      <w:pPr>
        <w:pStyle w:val="ListParagraph"/>
        <w:spacing w:line="360" w:lineRule="auto"/>
        <w:ind w:left="1080"/>
        <w:jc w:val="both"/>
        <w:rPr>
          <w:rFonts w:ascii="Times New Roman" w:hAnsi="Times New Roman" w:cs="Times New Roman"/>
          <w:lang w:val="en-IN"/>
        </w:rPr>
      </w:pPr>
      <w:hyperlink r:id="rId16" w:history="1">
        <w:r w:rsidRPr="004F0ABA">
          <w:rPr>
            <w:rStyle w:val="Hyperlink"/>
            <w:rFonts w:ascii="Times New Roman" w:hAnsi="Times New Roman" w:cs="Times New Roman"/>
            <w:lang w:val="en-IN"/>
          </w:rPr>
          <w:t>https://www.marketnews.usda.gov/mnp/hm-home</w:t>
        </w:r>
      </w:hyperlink>
    </w:p>
    <w:p w14:paraId="5AA31B9D" w14:textId="77777777" w:rsidR="00A54FF1" w:rsidRPr="004F0ABA" w:rsidRDefault="00A54FF1" w:rsidP="00A54FF1">
      <w:pPr>
        <w:pStyle w:val="ListParagraph"/>
        <w:spacing w:line="360" w:lineRule="auto"/>
        <w:ind w:left="1080"/>
        <w:jc w:val="both"/>
        <w:rPr>
          <w:rFonts w:ascii="Times New Roman" w:hAnsi="Times New Roman" w:cs="Times New Roman"/>
          <w:lang w:val="en-IN"/>
        </w:rPr>
      </w:pPr>
    </w:p>
    <w:p w14:paraId="1937C9DF" w14:textId="0F19DFE8" w:rsidR="00A54FF1" w:rsidRPr="00A54FF1" w:rsidRDefault="00A54FF1" w:rsidP="00A54FF1">
      <w:pPr>
        <w:pStyle w:val="ListParagraph"/>
        <w:numPr>
          <w:ilvl w:val="0"/>
          <w:numId w:val="27"/>
        </w:numPr>
        <w:spacing w:line="360" w:lineRule="auto"/>
        <w:jc w:val="both"/>
        <w:rPr>
          <w:rFonts w:ascii="Times New Roman" w:hAnsi="Times New Roman" w:cs="Times New Roman"/>
          <w:lang w:val="en-IN"/>
        </w:rPr>
      </w:pPr>
      <w:r w:rsidRPr="00A54FF1">
        <w:rPr>
          <w:rFonts w:ascii="Times New Roman" w:hAnsi="Times New Roman" w:cs="Times New Roman"/>
          <w:i/>
          <w:iCs/>
          <w:lang w:val="en-IN"/>
        </w:rPr>
        <w:t>USDA ERS - Livestock and Meat International Trade Data</w:t>
      </w:r>
      <w:r w:rsidRPr="00A54FF1">
        <w:rPr>
          <w:rFonts w:ascii="Times New Roman" w:hAnsi="Times New Roman" w:cs="Times New Roman"/>
          <w:lang w:val="en-IN"/>
        </w:rPr>
        <w:t xml:space="preserve">. (n.d.). Www.ers.usda.gov. </w:t>
      </w:r>
      <w:hyperlink r:id="rId17" w:history="1">
        <w:r w:rsidRPr="00A54FF1">
          <w:rPr>
            <w:rStyle w:val="Hyperlink"/>
            <w:rFonts w:ascii="Times New Roman" w:hAnsi="Times New Roman" w:cs="Times New Roman"/>
            <w:lang w:val="en-IN"/>
          </w:rPr>
          <w:t>https://www.ers.usda.gov/data-products/livestock-and-meat-international-trade-data</w:t>
        </w:r>
      </w:hyperlink>
    </w:p>
    <w:p w14:paraId="0C483F11" w14:textId="77777777" w:rsidR="00A54FF1" w:rsidRPr="00A54FF1" w:rsidRDefault="00A54FF1" w:rsidP="00A54FF1">
      <w:pPr>
        <w:pStyle w:val="ListParagraph"/>
        <w:spacing w:line="360" w:lineRule="auto"/>
        <w:ind w:left="1080"/>
        <w:jc w:val="both"/>
        <w:rPr>
          <w:rFonts w:ascii="Times New Roman" w:hAnsi="Times New Roman" w:cs="Times New Roman"/>
          <w:lang w:val="en-IN"/>
        </w:rPr>
      </w:pPr>
      <w:r w:rsidRPr="00A54FF1">
        <w:rPr>
          <w:rFonts w:ascii="Times New Roman" w:hAnsi="Times New Roman" w:cs="Times New Roman"/>
          <w:lang w:val="en-IN"/>
        </w:rPr>
        <w:t>‌</w:t>
      </w:r>
    </w:p>
    <w:p w14:paraId="12846E21" w14:textId="5D85AE7C" w:rsidR="00527242" w:rsidRPr="00527242" w:rsidRDefault="00527242" w:rsidP="00527242">
      <w:pPr>
        <w:pStyle w:val="ListParagraph"/>
        <w:numPr>
          <w:ilvl w:val="0"/>
          <w:numId w:val="27"/>
        </w:numPr>
        <w:spacing w:line="360" w:lineRule="auto"/>
        <w:jc w:val="both"/>
        <w:rPr>
          <w:rFonts w:ascii="Times New Roman" w:hAnsi="Times New Roman" w:cs="Times New Roman"/>
          <w:lang w:val="en-IN"/>
        </w:rPr>
      </w:pPr>
      <w:r w:rsidRPr="00527242">
        <w:rPr>
          <w:rFonts w:ascii="Times New Roman" w:hAnsi="Times New Roman" w:cs="Times New Roman"/>
          <w:i/>
          <w:iCs/>
          <w:lang w:val="en-IN"/>
        </w:rPr>
        <w:t xml:space="preserve">Time-Series Methods for Forecasting and </w:t>
      </w:r>
      <w:proofErr w:type="spellStart"/>
      <w:r w:rsidRPr="00527242">
        <w:rPr>
          <w:rFonts w:ascii="Times New Roman" w:hAnsi="Times New Roman" w:cs="Times New Roman"/>
          <w:i/>
          <w:iCs/>
          <w:lang w:val="en-IN"/>
        </w:rPr>
        <w:t>Modeling</w:t>
      </w:r>
      <w:proofErr w:type="spellEnd"/>
      <w:r w:rsidRPr="00527242">
        <w:rPr>
          <w:rFonts w:ascii="Times New Roman" w:hAnsi="Times New Roman" w:cs="Times New Roman"/>
          <w:i/>
          <w:iCs/>
          <w:lang w:val="en-IN"/>
        </w:rPr>
        <w:t xml:space="preserve"> Uncertainty in the Food Price Outlook | Economic Research Service</w:t>
      </w:r>
      <w:r w:rsidRPr="00527242">
        <w:rPr>
          <w:rFonts w:ascii="Times New Roman" w:hAnsi="Times New Roman" w:cs="Times New Roman"/>
          <w:lang w:val="en-IN"/>
        </w:rPr>
        <w:t xml:space="preserve">. (2022). Usda.gov. </w:t>
      </w:r>
      <w:hyperlink r:id="rId18" w:history="1">
        <w:r w:rsidRPr="00527242">
          <w:rPr>
            <w:rStyle w:val="Hyperlink"/>
            <w:rFonts w:ascii="Times New Roman" w:hAnsi="Times New Roman" w:cs="Times New Roman"/>
            <w:lang w:val="en-IN"/>
          </w:rPr>
          <w:t>https://www.ers.usda.gov/publications/pub-details?pubid=104490</w:t>
        </w:r>
      </w:hyperlink>
    </w:p>
    <w:p w14:paraId="7D819DEF" w14:textId="77777777" w:rsidR="00527242" w:rsidRPr="00527242" w:rsidRDefault="00527242" w:rsidP="00527242">
      <w:pPr>
        <w:pStyle w:val="ListParagraph"/>
        <w:spacing w:line="360" w:lineRule="auto"/>
        <w:ind w:left="1080"/>
        <w:jc w:val="both"/>
        <w:rPr>
          <w:rFonts w:ascii="Times New Roman" w:hAnsi="Times New Roman" w:cs="Times New Roman"/>
          <w:lang w:val="en-IN"/>
        </w:rPr>
      </w:pPr>
      <w:r w:rsidRPr="00527242">
        <w:rPr>
          <w:rFonts w:ascii="Times New Roman" w:hAnsi="Times New Roman" w:cs="Times New Roman"/>
          <w:lang w:val="en-IN"/>
        </w:rPr>
        <w:t>‌</w:t>
      </w:r>
    </w:p>
    <w:p w14:paraId="521E8E68" w14:textId="477A1A34" w:rsidR="00384053" w:rsidRPr="00384053" w:rsidRDefault="00527242" w:rsidP="00384053">
      <w:pPr>
        <w:pStyle w:val="ListParagraph"/>
        <w:numPr>
          <w:ilvl w:val="0"/>
          <w:numId w:val="27"/>
        </w:numPr>
        <w:spacing w:line="360" w:lineRule="auto"/>
        <w:jc w:val="both"/>
        <w:rPr>
          <w:rFonts w:ascii="Times New Roman" w:hAnsi="Times New Roman" w:cs="Times New Roman"/>
          <w:lang w:val="en-IN"/>
        </w:rPr>
      </w:pPr>
      <w:r w:rsidRPr="00527242">
        <w:rPr>
          <w:rFonts w:ascii="Times New Roman" w:hAnsi="Times New Roman" w:cs="Times New Roman"/>
          <w:i/>
          <w:iCs/>
          <w:lang w:val="en-IN"/>
        </w:rPr>
        <w:t>Food Price Outlook | Economic Research Service</w:t>
      </w:r>
      <w:r w:rsidRPr="00527242">
        <w:rPr>
          <w:rFonts w:ascii="Times New Roman" w:hAnsi="Times New Roman" w:cs="Times New Roman"/>
          <w:lang w:val="en-IN"/>
        </w:rPr>
        <w:t xml:space="preserve">. (2024, December 20). Usda.gov. </w:t>
      </w:r>
      <w:hyperlink r:id="rId19" w:history="1">
        <w:r w:rsidRPr="00527242">
          <w:rPr>
            <w:rStyle w:val="Hyperlink"/>
            <w:rFonts w:ascii="Times New Roman" w:hAnsi="Times New Roman" w:cs="Times New Roman"/>
            <w:lang w:val="en-IN"/>
          </w:rPr>
          <w:t>https://www.ers.usda.gov/data-products/food-price-outlook</w:t>
        </w:r>
      </w:hyperlink>
    </w:p>
    <w:p w14:paraId="3F0E58F4" w14:textId="77777777" w:rsidR="00384053" w:rsidRDefault="00384053" w:rsidP="00384053">
      <w:pPr>
        <w:pStyle w:val="NormalWeb"/>
        <w:numPr>
          <w:ilvl w:val="0"/>
          <w:numId w:val="27"/>
        </w:numPr>
        <w:spacing w:before="0" w:beforeAutospacing="0" w:after="0" w:afterAutospacing="0" w:line="480" w:lineRule="atLeast"/>
        <w:rPr>
          <w:rFonts w:ascii="Calibri" w:hAnsi="Calibri" w:cs="Calibri"/>
          <w:color w:val="000000"/>
          <w:sz w:val="27"/>
          <w:szCs w:val="27"/>
        </w:rPr>
      </w:pPr>
      <w:r w:rsidRPr="00384053">
        <w:rPr>
          <w:color w:val="000000"/>
        </w:rPr>
        <w:t>U.S. Bureau of Labor Statistics. (1980, January 1). </w:t>
      </w:r>
      <w:r w:rsidRPr="00384053">
        <w:rPr>
          <w:i/>
          <w:iCs/>
          <w:color w:val="000000"/>
        </w:rPr>
        <w:t>Average Price: Eggs, Grade A, Large (Cost per Dozen) in U.S. City Average</w:t>
      </w:r>
      <w:r w:rsidRPr="00384053">
        <w:rPr>
          <w:color w:val="000000"/>
        </w:rPr>
        <w:t>. FRED, Federal Reserve</w:t>
      </w:r>
      <w:r>
        <w:rPr>
          <w:rFonts w:ascii="Calibri" w:hAnsi="Calibri" w:cs="Calibri"/>
          <w:color w:val="000000"/>
          <w:sz w:val="27"/>
          <w:szCs w:val="27"/>
        </w:rPr>
        <w:t xml:space="preserve"> </w:t>
      </w:r>
      <w:r w:rsidRPr="00384053">
        <w:rPr>
          <w:color w:val="000000"/>
        </w:rPr>
        <w:t>Bank of St.</w:t>
      </w:r>
      <w:r>
        <w:rPr>
          <w:rFonts w:ascii="Calibri" w:hAnsi="Calibri" w:cs="Calibri"/>
          <w:color w:val="000000"/>
          <w:sz w:val="27"/>
          <w:szCs w:val="27"/>
        </w:rPr>
        <w:t xml:space="preserve"> </w:t>
      </w:r>
      <w:r w:rsidRPr="00384053">
        <w:rPr>
          <w:color w:val="000000"/>
        </w:rPr>
        <w:t>Louis.</w:t>
      </w:r>
      <w:r>
        <w:rPr>
          <w:rFonts w:ascii="Calibri" w:hAnsi="Calibri" w:cs="Calibri"/>
          <w:color w:val="000000"/>
          <w:sz w:val="27"/>
          <w:szCs w:val="27"/>
        </w:rPr>
        <w:t xml:space="preserve"> </w:t>
      </w:r>
    </w:p>
    <w:p w14:paraId="6AAF2576" w14:textId="5C3D0A6A" w:rsidR="00384053" w:rsidRDefault="00384053" w:rsidP="00384053">
      <w:pPr>
        <w:pStyle w:val="NormalWeb"/>
        <w:spacing w:before="0" w:beforeAutospacing="0" w:after="0" w:afterAutospacing="0" w:line="480" w:lineRule="atLeast"/>
        <w:ind w:left="1080"/>
        <w:rPr>
          <w:rFonts w:ascii="Calibri" w:hAnsi="Calibri" w:cs="Calibri"/>
          <w:color w:val="000000"/>
          <w:sz w:val="27"/>
          <w:szCs w:val="27"/>
        </w:rPr>
      </w:pPr>
      <w:hyperlink r:id="rId20" w:history="1">
        <w:r w:rsidRPr="0096055C">
          <w:rPr>
            <w:rStyle w:val="Hyperlink"/>
          </w:rPr>
          <w:t>https://fred.stlouisfed.org/series/APU0000708111</w:t>
        </w:r>
      </w:hyperlink>
    </w:p>
    <w:p w14:paraId="2C707A9B" w14:textId="77777777" w:rsidR="00384053" w:rsidRDefault="00384053" w:rsidP="00384053">
      <w:pPr>
        <w:pStyle w:val="NormalWeb"/>
        <w:spacing w:before="0" w:beforeAutospacing="0" w:after="0" w:afterAutospacing="0" w:line="480" w:lineRule="atLeast"/>
        <w:ind w:left="1080"/>
        <w:rPr>
          <w:rFonts w:ascii="Calibri" w:hAnsi="Calibri" w:cs="Calibri"/>
          <w:color w:val="000000"/>
          <w:sz w:val="27"/>
          <w:szCs w:val="27"/>
        </w:rPr>
      </w:pPr>
    </w:p>
    <w:p w14:paraId="7D7DF957" w14:textId="77777777" w:rsidR="00384053" w:rsidRDefault="00384053" w:rsidP="00384053">
      <w:pPr>
        <w:pStyle w:val="NormalWeb"/>
        <w:numPr>
          <w:ilvl w:val="0"/>
          <w:numId w:val="27"/>
        </w:numPr>
        <w:rPr>
          <w:rFonts w:ascii="Calibri" w:hAnsi="Calibri" w:cs="Calibri"/>
          <w:color w:val="000000"/>
          <w:sz w:val="27"/>
          <w:szCs w:val="27"/>
        </w:rPr>
      </w:pPr>
      <w:r w:rsidRPr="00384053">
        <w:rPr>
          <w:color w:val="000000"/>
        </w:rPr>
        <w:t>U.S. Bureau of Labor Statistics. (1984, January 1). </w:t>
      </w:r>
      <w:r w:rsidRPr="00384053">
        <w:rPr>
          <w:i/>
          <w:iCs/>
          <w:color w:val="000000"/>
        </w:rPr>
        <w:t>Average Price: Ground Beef, 100% Beef (Cost per Pound/453.6 Grams) in U.S. City Average</w:t>
      </w:r>
      <w:r w:rsidRPr="00384053">
        <w:rPr>
          <w:color w:val="000000"/>
        </w:rPr>
        <w:t>. FRED, Federal Reserve Bank of St. Louis.</w:t>
      </w:r>
      <w:r w:rsidRPr="00384053">
        <w:rPr>
          <w:rFonts w:ascii="Calibri" w:hAnsi="Calibri" w:cs="Calibri"/>
          <w:color w:val="000000"/>
          <w:sz w:val="27"/>
          <w:szCs w:val="27"/>
        </w:rPr>
        <w:t xml:space="preserve"> </w:t>
      </w:r>
    </w:p>
    <w:p w14:paraId="5BB004DE" w14:textId="7320AAF7" w:rsidR="00384053" w:rsidRPr="00384053" w:rsidRDefault="00384053" w:rsidP="00384053">
      <w:pPr>
        <w:pStyle w:val="NormalWeb"/>
        <w:ind w:left="1080"/>
        <w:rPr>
          <w:rFonts w:ascii="Calibri" w:hAnsi="Calibri" w:cs="Calibri"/>
          <w:color w:val="000000"/>
        </w:rPr>
      </w:pPr>
      <w:hyperlink r:id="rId21" w:history="1">
        <w:r w:rsidRPr="00384053">
          <w:rPr>
            <w:rStyle w:val="Hyperlink"/>
            <w:rFonts w:ascii="Calibri" w:hAnsi="Calibri" w:cs="Calibri"/>
          </w:rPr>
          <w:t>https://fred.stlouisfed.org/series/APU0000703112</w:t>
        </w:r>
      </w:hyperlink>
    </w:p>
    <w:p w14:paraId="0AB7ADC4" w14:textId="77777777" w:rsidR="00384053" w:rsidRPr="00384053" w:rsidRDefault="00384053" w:rsidP="00384053">
      <w:pPr>
        <w:pStyle w:val="NormalWeb"/>
        <w:spacing w:before="0" w:beforeAutospacing="0" w:after="0" w:afterAutospacing="0" w:line="480" w:lineRule="atLeast"/>
        <w:ind w:left="1080"/>
        <w:rPr>
          <w:rFonts w:ascii="Calibri" w:hAnsi="Calibri" w:cs="Calibri"/>
          <w:color w:val="000000"/>
          <w:sz w:val="27"/>
          <w:szCs w:val="27"/>
        </w:rPr>
      </w:pPr>
      <w:r w:rsidRPr="00384053">
        <w:rPr>
          <w:rFonts w:ascii="Calibri" w:hAnsi="Calibri" w:cs="Calibri"/>
          <w:color w:val="000000"/>
          <w:sz w:val="27"/>
          <w:szCs w:val="27"/>
        </w:rPr>
        <w:t>‌</w:t>
      </w:r>
    </w:p>
    <w:p w14:paraId="45CF99C1" w14:textId="77777777" w:rsidR="00384053" w:rsidRPr="00384053" w:rsidRDefault="00384053" w:rsidP="00384053">
      <w:pPr>
        <w:pStyle w:val="NormalWeb"/>
        <w:spacing w:before="0" w:beforeAutospacing="0" w:after="0" w:afterAutospacing="0" w:line="480" w:lineRule="atLeast"/>
        <w:ind w:left="1080"/>
        <w:rPr>
          <w:rFonts w:ascii="Calibri" w:hAnsi="Calibri" w:cs="Calibri"/>
          <w:color w:val="000000"/>
          <w:sz w:val="27"/>
          <w:szCs w:val="27"/>
        </w:rPr>
      </w:pPr>
    </w:p>
    <w:sectPr w:rsidR="00384053" w:rsidRPr="003840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EA97F" w14:textId="77777777" w:rsidR="00F36C42" w:rsidRDefault="00F36C42" w:rsidP="001C25A5">
      <w:pPr>
        <w:spacing w:after="0" w:line="240" w:lineRule="auto"/>
      </w:pPr>
      <w:r>
        <w:separator/>
      </w:r>
    </w:p>
  </w:endnote>
  <w:endnote w:type="continuationSeparator" w:id="0">
    <w:p w14:paraId="6B625926" w14:textId="77777777" w:rsidR="00F36C42" w:rsidRDefault="00F36C42" w:rsidP="001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EE011" w14:textId="77777777" w:rsidR="00F36C42" w:rsidRDefault="00F36C42" w:rsidP="001C25A5">
      <w:pPr>
        <w:spacing w:after="0" w:line="240" w:lineRule="auto"/>
      </w:pPr>
      <w:r>
        <w:separator/>
      </w:r>
    </w:p>
  </w:footnote>
  <w:footnote w:type="continuationSeparator" w:id="0">
    <w:p w14:paraId="49378F0A" w14:textId="77777777" w:rsidR="00F36C42" w:rsidRDefault="00F36C42" w:rsidP="001C2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936C4"/>
    <w:multiLevelType w:val="hybridMultilevel"/>
    <w:tmpl w:val="B3B84200"/>
    <w:lvl w:ilvl="0" w:tplc="7AB86B7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C6814"/>
    <w:multiLevelType w:val="hybridMultilevel"/>
    <w:tmpl w:val="27DED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993266"/>
    <w:multiLevelType w:val="multilevel"/>
    <w:tmpl w:val="77E2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E4F93"/>
    <w:multiLevelType w:val="multilevel"/>
    <w:tmpl w:val="0DD6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90117"/>
    <w:multiLevelType w:val="hybridMultilevel"/>
    <w:tmpl w:val="43BAB9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F134C28"/>
    <w:multiLevelType w:val="multilevel"/>
    <w:tmpl w:val="A5BE10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F595EB6"/>
    <w:multiLevelType w:val="multilevel"/>
    <w:tmpl w:val="4F8E4E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4B902E3"/>
    <w:multiLevelType w:val="hybridMultilevel"/>
    <w:tmpl w:val="DB724FDE"/>
    <w:lvl w:ilvl="0" w:tplc="D720645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B4AFA"/>
    <w:multiLevelType w:val="multilevel"/>
    <w:tmpl w:val="4DF8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936D6"/>
    <w:multiLevelType w:val="multilevel"/>
    <w:tmpl w:val="DA8A8E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C7C17CD"/>
    <w:multiLevelType w:val="multilevel"/>
    <w:tmpl w:val="B17441B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3D7E5773"/>
    <w:multiLevelType w:val="multilevel"/>
    <w:tmpl w:val="4004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F09D1"/>
    <w:multiLevelType w:val="multilevel"/>
    <w:tmpl w:val="9506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237714"/>
    <w:multiLevelType w:val="multilevel"/>
    <w:tmpl w:val="FFFAE3F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4AB01558"/>
    <w:multiLevelType w:val="multilevel"/>
    <w:tmpl w:val="295C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64718"/>
    <w:multiLevelType w:val="multilevel"/>
    <w:tmpl w:val="3C3A0D3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F8447FA"/>
    <w:multiLevelType w:val="multilevel"/>
    <w:tmpl w:val="1A10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227EF"/>
    <w:multiLevelType w:val="hybridMultilevel"/>
    <w:tmpl w:val="7BA62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D9E327B"/>
    <w:multiLevelType w:val="hybridMultilevel"/>
    <w:tmpl w:val="485E9EFC"/>
    <w:lvl w:ilvl="0" w:tplc="A4608314">
      <w:start w:val="1"/>
      <w:numFmt w:val="decimal"/>
      <w:lvlText w:val="%1."/>
      <w:lvlJc w:val="left"/>
      <w:pPr>
        <w:ind w:left="72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99019E"/>
    <w:multiLevelType w:val="multilevel"/>
    <w:tmpl w:val="7668D2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7626C9D"/>
    <w:multiLevelType w:val="hybridMultilevel"/>
    <w:tmpl w:val="0BC026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BB12765"/>
    <w:multiLevelType w:val="multilevel"/>
    <w:tmpl w:val="2734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8025D2"/>
    <w:multiLevelType w:val="multilevel"/>
    <w:tmpl w:val="46BA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95624"/>
    <w:multiLevelType w:val="multilevel"/>
    <w:tmpl w:val="D75A34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5586F99"/>
    <w:multiLevelType w:val="multilevel"/>
    <w:tmpl w:val="08D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B241E"/>
    <w:multiLevelType w:val="multilevel"/>
    <w:tmpl w:val="A79822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C60325B"/>
    <w:multiLevelType w:val="multilevel"/>
    <w:tmpl w:val="24E6073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62857817">
    <w:abstractNumId w:val="16"/>
  </w:num>
  <w:num w:numId="2" w16cid:durableId="1788886054">
    <w:abstractNumId w:val="0"/>
  </w:num>
  <w:num w:numId="3" w16cid:durableId="1972131864">
    <w:abstractNumId w:val="7"/>
  </w:num>
  <w:num w:numId="4" w16cid:durableId="1780878716">
    <w:abstractNumId w:val="18"/>
  </w:num>
  <w:num w:numId="5" w16cid:durableId="1817914934">
    <w:abstractNumId w:val="1"/>
  </w:num>
  <w:num w:numId="6" w16cid:durableId="1906913567">
    <w:abstractNumId w:val="24"/>
  </w:num>
  <w:num w:numId="7" w16cid:durableId="621691182">
    <w:abstractNumId w:val="11"/>
  </w:num>
  <w:num w:numId="8" w16cid:durableId="509102881">
    <w:abstractNumId w:val="12"/>
  </w:num>
  <w:num w:numId="9" w16cid:durableId="871655179">
    <w:abstractNumId w:val="25"/>
  </w:num>
  <w:num w:numId="10" w16cid:durableId="992373693">
    <w:abstractNumId w:val="22"/>
  </w:num>
  <w:num w:numId="11" w16cid:durableId="1079324005">
    <w:abstractNumId w:val="2"/>
  </w:num>
  <w:num w:numId="12" w16cid:durableId="364478327">
    <w:abstractNumId w:val="21"/>
  </w:num>
  <w:num w:numId="13" w16cid:durableId="203098843">
    <w:abstractNumId w:val="14"/>
  </w:num>
  <w:num w:numId="14" w16cid:durableId="641035755">
    <w:abstractNumId w:val="3"/>
  </w:num>
  <w:num w:numId="15" w16cid:durableId="1081413226">
    <w:abstractNumId w:val="8"/>
  </w:num>
  <w:num w:numId="16" w16cid:durableId="1666934394">
    <w:abstractNumId w:val="23"/>
  </w:num>
  <w:num w:numId="17" w16cid:durableId="360937264">
    <w:abstractNumId w:val="5"/>
  </w:num>
  <w:num w:numId="18" w16cid:durableId="1161383389">
    <w:abstractNumId w:val="9"/>
  </w:num>
  <w:num w:numId="19" w16cid:durableId="1022707867">
    <w:abstractNumId w:val="19"/>
  </w:num>
  <w:num w:numId="20" w16cid:durableId="1513958315">
    <w:abstractNumId w:val="13"/>
  </w:num>
  <w:num w:numId="21" w16cid:durableId="143469388">
    <w:abstractNumId w:val="26"/>
  </w:num>
  <w:num w:numId="22" w16cid:durableId="185681081">
    <w:abstractNumId w:val="15"/>
  </w:num>
  <w:num w:numId="23" w16cid:durableId="1319000842">
    <w:abstractNumId w:val="6"/>
  </w:num>
  <w:num w:numId="24" w16cid:durableId="53504378">
    <w:abstractNumId w:val="10"/>
  </w:num>
  <w:num w:numId="25" w16cid:durableId="1143737170">
    <w:abstractNumId w:val="20"/>
  </w:num>
  <w:num w:numId="26" w16cid:durableId="2099904616">
    <w:abstractNumId w:val="17"/>
  </w:num>
  <w:num w:numId="27" w16cid:durableId="229776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2F"/>
    <w:rsid w:val="00035A7A"/>
    <w:rsid w:val="000634E2"/>
    <w:rsid w:val="000B2467"/>
    <w:rsid w:val="000D60DA"/>
    <w:rsid w:val="001773C6"/>
    <w:rsid w:val="001805B6"/>
    <w:rsid w:val="00183DDA"/>
    <w:rsid w:val="001A568D"/>
    <w:rsid w:val="001C25A5"/>
    <w:rsid w:val="001F1691"/>
    <w:rsid w:val="001F2F75"/>
    <w:rsid w:val="002049EE"/>
    <w:rsid w:val="00267F51"/>
    <w:rsid w:val="00285FD8"/>
    <w:rsid w:val="002E7387"/>
    <w:rsid w:val="00300638"/>
    <w:rsid w:val="00303575"/>
    <w:rsid w:val="00337504"/>
    <w:rsid w:val="0035452F"/>
    <w:rsid w:val="00371AF1"/>
    <w:rsid w:val="00380F5B"/>
    <w:rsid w:val="00384053"/>
    <w:rsid w:val="003A5426"/>
    <w:rsid w:val="003B5218"/>
    <w:rsid w:val="003D5018"/>
    <w:rsid w:val="003F5C13"/>
    <w:rsid w:val="004245B9"/>
    <w:rsid w:val="00474244"/>
    <w:rsid w:val="004C3493"/>
    <w:rsid w:val="004D28F2"/>
    <w:rsid w:val="004D7444"/>
    <w:rsid w:val="004F0ABA"/>
    <w:rsid w:val="00527242"/>
    <w:rsid w:val="00564404"/>
    <w:rsid w:val="005A24EB"/>
    <w:rsid w:val="005D2F85"/>
    <w:rsid w:val="005F26EA"/>
    <w:rsid w:val="005F3A33"/>
    <w:rsid w:val="00634349"/>
    <w:rsid w:val="00667342"/>
    <w:rsid w:val="00686DCC"/>
    <w:rsid w:val="007012D8"/>
    <w:rsid w:val="00755848"/>
    <w:rsid w:val="007722CC"/>
    <w:rsid w:val="00772F2B"/>
    <w:rsid w:val="007E7E4A"/>
    <w:rsid w:val="00857AF8"/>
    <w:rsid w:val="008A2D43"/>
    <w:rsid w:val="008D3C61"/>
    <w:rsid w:val="00935106"/>
    <w:rsid w:val="00967295"/>
    <w:rsid w:val="009A497A"/>
    <w:rsid w:val="009B66E6"/>
    <w:rsid w:val="009B7662"/>
    <w:rsid w:val="009D619D"/>
    <w:rsid w:val="009E5589"/>
    <w:rsid w:val="00A060BA"/>
    <w:rsid w:val="00A54FF1"/>
    <w:rsid w:val="00A61A36"/>
    <w:rsid w:val="00A80226"/>
    <w:rsid w:val="00AE6AC6"/>
    <w:rsid w:val="00AF47C7"/>
    <w:rsid w:val="00B2445C"/>
    <w:rsid w:val="00B37F2D"/>
    <w:rsid w:val="00BC3A78"/>
    <w:rsid w:val="00BF0A55"/>
    <w:rsid w:val="00C37B1E"/>
    <w:rsid w:val="00C51A1E"/>
    <w:rsid w:val="00C63810"/>
    <w:rsid w:val="00C75FEB"/>
    <w:rsid w:val="00D22441"/>
    <w:rsid w:val="00D41966"/>
    <w:rsid w:val="00D76E63"/>
    <w:rsid w:val="00D773FE"/>
    <w:rsid w:val="00D914B6"/>
    <w:rsid w:val="00DC06CD"/>
    <w:rsid w:val="00DC2CC9"/>
    <w:rsid w:val="00DD1E1F"/>
    <w:rsid w:val="00E73D6C"/>
    <w:rsid w:val="00E83716"/>
    <w:rsid w:val="00EA7960"/>
    <w:rsid w:val="00F36C42"/>
    <w:rsid w:val="00F70F64"/>
    <w:rsid w:val="00F8250C"/>
    <w:rsid w:val="00F86CE5"/>
    <w:rsid w:val="00FB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9BB7"/>
  <w15:chartTrackingRefBased/>
  <w15:docId w15:val="{2EA6F74B-C01B-4A67-8ABB-979DD060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52F"/>
    <w:rPr>
      <w:rFonts w:eastAsiaTheme="majorEastAsia" w:cstheme="majorBidi"/>
      <w:color w:val="272727" w:themeColor="text1" w:themeTint="D8"/>
    </w:rPr>
  </w:style>
  <w:style w:type="paragraph" w:styleId="Title">
    <w:name w:val="Title"/>
    <w:basedOn w:val="Normal"/>
    <w:next w:val="Normal"/>
    <w:link w:val="TitleChar"/>
    <w:uiPriority w:val="10"/>
    <w:qFormat/>
    <w:rsid w:val="00354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52F"/>
    <w:pPr>
      <w:spacing w:before="160"/>
      <w:jc w:val="center"/>
    </w:pPr>
    <w:rPr>
      <w:i/>
      <w:iCs/>
      <w:color w:val="404040" w:themeColor="text1" w:themeTint="BF"/>
    </w:rPr>
  </w:style>
  <w:style w:type="character" w:customStyle="1" w:styleId="QuoteChar">
    <w:name w:val="Quote Char"/>
    <w:basedOn w:val="DefaultParagraphFont"/>
    <w:link w:val="Quote"/>
    <w:uiPriority w:val="29"/>
    <w:rsid w:val="0035452F"/>
    <w:rPr>
      <w:i/>
      <w:iCs/>
      <w:color w:val="404040" w:themeColor="text1" w:themeTint="BF"/>
    </w:rPr>
  </w:style>
  <w:style w:type="paragraph" w:styleId="ListParagraph">
    <w:name w:val="List Paragraph"/>
    <w:basedOn w:val="Normal"/>
    <w:uiPriority w:val="34"/>
    <w:qFormat/>
    <w:rsid w:val="0035452F"/>
    <w:pPr>
      <w:ind w:left="720"/>
      <w:contextualSpacing/>
    </w:pPr>
  </w:style>
  <w:style w:type="character" w:styleId="IntenseEmphasis">
    <w:name w:val="Intense Emphasis"/>
    <w:basedOn w:val="DefaultParagraphFont"/>
    <w:uiPriority w:val="21"/>
    <w:qFormat/>
    <w:rsid w:val="0035452F"/>
    <w:rPr>
      <w:i/>
      <w:iCs/>
      <w:color w:val="0F4761" w:themeColor="accent1" w:themeShade="BF"/>
    </w:rPr>
  </w:style>
  <w:style w:type="paragraph" w:styleId="IntenseQuote">
    <w:name w:val="Intense Quote"/>
    <w:basedOn w:val="Normal"/>
    <w:next w:val="Normal"/>
    <w:link w:val="IntenseQuoteChar"/>
    <w:uiPriority w:val="30"/>
    <w:qFormat/>
    <w:rsid w:val="00354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52F"/>
    <w:rPr>
      <w:i/>
      <w:iCs/>
      <w:color w:val="0F4761" w:themeColor="accent1" w:themeShade="BF"/>
    </w:rPr>
  </w:style>
  <w:style w:type="character" w:styleId="IntenseReference">
    <w:name w:val="Intense Reference"/>
    <w:basedOn w:val="DefaultParagraphFont"/>
    <w:uiPriority w:val="32"/>
    <w:qFormat/>
    <w:rsid w:val="0035452F"/>
    <w:rPr>
      <w:b/>
      <w:bCs/>
      <w:smallCaps/>
      <w:color w:val="0F4761" w:themeColor="accent1" w:themeShade="BF"/>
      <w:spacing w:val="5"/>
    </w:rPr>
  </w:style>
  <w:style w:type="paragraph" w:styleId="Header">
    <w:name w:val="header"/>
    <w:basedOn w:val="Normal"/>
    <w:link w:val="HeaderChar"/>
    <w:uiPriority w:val="99"/>
    <w:unhideWhenUsed/>
    <w:rsid w:val="001C2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5A5"/>
  </w:style>
  <w:style w:type="paragraph" w:styleId="Footer">
    <w:name w:val="footer"/>
    <w:basedOn w:val="Normal"/>
    <w:link w:val="FooterChar"/>
    <w:uiPriority w:val="99"/>
    <w:unhideWhenUsed/>
    <w:rsid w:val="001C2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5A5"/>
  </w:style>
  <w:style w:type="table" w:styleId="TableGrid">
    <w:name w:val="Table Grid"/>
    <w:basedOn w:val="TableNormal"/>
    <w:uiPriority w:val="39"/>
    <w:rsid w:val="00F7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7960"/>
    <w:rPr>
      <w:color w:val="467886" w:themeColor="hyperlink"/>
      <w:u w:val="single"/>
    </w:rPr>
  </w:style>
  <w:style w:type="character" w:styleId="UnresolvedMention">
    <w:name w:val="Unresolved Mention"/>
    <w:basedOn w:val="DefaultParagraphFont"/>
    <w:uiPriority w:val="99"/>
    <w:semiHidden/>
    <w:unhideWhenUsed/>
    <w:rsid w:val="00EA7960"/>
    <w:rPr>
      <w:color w:val="605E5C"/>
      <w:shd w:val="clear" w:color="auto" w:fill="E1DFDD"/>
    </w:rPr>
  </w:style>
  <w:style w:type="paragraph" w:styleId="NormalWeb">
    <w:name w:val="Normal (Web)"/>
    <w:basedOn w:val="Normal"/>
    <w:uiPriority w:val="99"/>
    <w:unhideWhenUsed/>
    <w:rsid w:val="00686DC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7699">
      <w:bodyDiv w:val="1"/>
      <w:marLeft w:val="0"/>
      <w:marRight w:val="0"/>
      <w:marTop w:val="0"/>
      <w:marBottom w:val="0"/>
      <w:divBdr>
        <w:top w:val="none" w:sz="0" w:space="0" w:color="auto"/>
        <w:left w:val="none" w:sz="0" w:space="0" w:color="auto"/>
        <w:bottom w:val="none" w:sz="0" w:space="0" w:color="auto"/>
        <w:right w:val="none" w:sz="0" w:space="0" w:color="auto"/>
      </w:divBdr>
    </w:div>
    <w:div w:id="17199915">
      <w:bodyDiv w:val="1"/>
      <w:marLeft w:val="0"/>
      <w:marRight w:val="0"/>
      <w:marTop w:val="0"/>
      <w:marBottom w:val="0"/>
      <w:divBdr>
        <w:top w:val="none" w:sz="0" w:space="0" w:color="auto"/>
        <w:left w:val="none" w:sz="0" w:space="0" w:color="auto"/>
        <w:bottom w:val="none" w:sz="0" w:space="0" w:color="auto"/>
        <w:right w:val="none" w:sz="0" w:space="0" w:color="auto"/>
      </w:divBdr>
    </w:div>
    <w:div w:id="108210655">
      <w:bodyDiv w:val="1"/>
      <w:marLeft w:val="0"/>
      <w:marRight w:val="0"/>
      <w:marTop w:val="0"/>
      <w:marBottom w:val="0"/>
      <w:divBdr>
        <w:top w:val="none" w:sz="0" w:space="0" w:color="auto"/>
        <w:left w:val="none" w:sz="0" w:space="0" w:color="auto"/>
        <w:bottom w:val="none" w:sz="0" w:space="0" w:color="auto"/>
        <w:right w:val="none" w:sz="0" w:space="0" w:color="auto"/>
      </w:divBdr>
    </w:div>
    <w:div w:id="153379563">
      <w:bodyDiv w:val="1"/>
      <w:marLeft w:val="0"/>
      <w:marRight w:val="0"/>
      <w:marTop w:val="0"/>
      <w:marBottom w:val="0"/>
      <w:divBdr>
        <w:top w:val="none" w:sz="0" w:space="0" w:color="auto"/>
        <w:left w:val="none" w:sz="0" w:space="0" w:color="auto"/>
        <w:bottom w:val="none" w:sz="0" w:space="0" w:color="auto"/>
        <w:right w:val="none" w:sz="0" w:space="0" w:color="auto"/>
      </w:divBdr>
    </w:div>
    <w:div w:id="159274639">
      <w:bodyDiv w:val="1"/>
      <w:marLeft w:val="0"/>
      <w:marRight w:val="0"/>
      <w:marTop w:val="0"/>
      <w:marBottom w:val="0"/>
      <w:divBdr>
        <w:top w:val="none" w:sz="0" w:space="0" w:color="auto"/>
        <w:left w:val="none" w:sz="0" w:space="0" w:color="auto"/>
        <w:bottom w:val="none" w:sz="0" w:space="0" w:color="auto"/>
        <w:right w:val="none" w:sz="0" w:space="0" w:color="auto"/>
      </w:divBdr>
    </w:div>
    <w:div w:id="160052638">
      <w:bodyDiv w:val="1"/>
      <w:marLeft w:val="0"/>
      <w:marRight w:val="0"/>
      <w:marTop w:val="0"/>
      <w:marBottom w:val="0"/>
      <w:divBdr>
        <w:top w:val="none" w:sz="0" w:space="0" w:color="auto"/>
        <w:left w:val="none" w:sz="0" w:space="0" w:color="auto"/>
        <w:bottom w:val="none" w:sz="0" w:space="0" w:color="auto"/>
        <w:right w:val="none" w:sz="0" w:space="0" w:color="auto"/>
      </w:divBdr>
    </w:div>
    <w:div w:id="173225801">
      <w:bodyDiv w:val="1"/>
      <w:marLeft w:val="0"/>
      <w:marRight w:val="0"/>
      <w:marTop w:val="0"/>
      <w:marBottom w:val="0"/>
      <w:divBdr>
        <w:top w:val="none" w:sz="0" w:space="0" w:color="auto"/>
        <w:left w:val="none" w:sz="0" w:space="0" w:color="auto"/>
        <w:bottom w:val="none" w:sz="0" w:space="0" w:color="auto"/>
        <w:right w:val="none" w:sz="0" w:space="0" w:color="auto"/>
      </w:divBdr>
    </w:div>
    <w:div w:id="200441120">
      <w:bodyDiv w:val="1"/>
      <w:marLeft w:val="0"/>
      <w:marRight w:val="0"/>
      <w:marTop w:val="0"/>
      <w:marBottom w:val="0"/>
      <w:divBdr>
        <w:top w:val="none" w:sz="0" w:space="0" w:color="auto"/>
        <w:left w:val="none" w:sz="0" w:space="0" w:color="auto"/>
        <w:bottom w:val="none" w:sz="0" w:space="0" w:color="auto"/>
        <w:right w:val="none" w:sz="0" w:space="0" w:color="auto"/>
      </w:divBdr>
    </w:div>
    <w:div w:id="208035326">
      <w:bodyDiv w:val="1"/>
      <w:marLeft w:val="0"/>
      <w:marRight w:val="0"/>
      <w:marTop w:val="0"/>
      <w:marBottom w:val="0"/>
      <w:divBdr>
        <w:top w:val="none" w:sz="0" w:space="0" w:color="auto"/>
        <w:left w:val="none" w:sz="0" w:space="0" w:color="auto"/>
        <w:bottom w:val="none" w:sz="0" w:space="0" w:color="auto"/>
        <w:right w:val="none" w:sz="0" w:space="0" w:color="auto"/>
      </w:divBdr>
    </w:div>
    <w:div w:id="229850832">
      <w:bodyDiv w:val="1"/>
      <w:marLeft w:val="0"/>
      <w:marRight w:val="0"/>
      <w:marTop w:val="0"/>
      <w:marBottom w:val="0"/>
      <w:divBdr>
        <w:top w:val="none" w:sz="0" w:space="0" w:color="auto"/>
        <w:left w:val="none" w:sz="0" w:space="0" w:color="auto"/>
        <w:bottom w:val="none" w:sz="0" w:space="0" w:color="auto"/>
        <w:right w:val="none" w:sz="0" w:space="0" w:color="auto"/>
      </w:divBdr>
    </w:div>
    <w:div w:id="278995597">
      <w:bodyDiv w:val="1"/>
      <w:marLeft w:val="0"/>
      <w:marRight w:val="0"/>
      <w:marTop w:val="0"/>
      <w:marBottom w:val="0"/>
      <w:divBdr>
        <w:top w:val="none" w:sz="0" w:space="0" w:color="auto"/>
        <w:left w:val="none" w:sz="0" w:space="0" w:color="auto"/>
        <w:bottom w:val="none" w:sz="0" w:space="0" w:color="auto"/>
        <w:right w:val="none" w:sz="0" w:space="0" w:color="auto"/>
      </w:divBdr>
    </w:div>
    <w:div w:id="421951668">
      <w:bodyDiv w:val="1"/>
      <w:marLeft w:val="0"/>
      <w:marRight w:val="0"/>
      <w:marTop w:val="0"/>
      <w:marBottom w:val="0"/>
      <w:divBdr>
        <w:top w:val="none" w:sz="0" w:space="0" w:color="auto"/>
        <w:left w:val="none" w:sz="0" w:space="0" w:color="auto"/>
        <w:bottom w:val="none" w:sz="0" w:space="0" w:color="auto"/>
        <w:right w:val="none" w:sz="0" w:space="0" w:color="auto"/>
      </w:divBdr>
    </w:div>
    <w:div w:id="459106139">
      <w:bodyDiv w:val="1"/>
      <w:marLeft w:val="0"/>
      <w:marRight w:val="0"/>
      <w:marTop w:val="0"/>
      <w:marBottom w:val="0"/>
      <w:divBdr>
        <w:top w:val="none" w:sz="0" w:space="0" w:color="auto"/>
        <w:left w:val="none" w:sz="0" w:space="0" w:color="auto"/>
        <w:bottom w:val="none" w:sz="0" w:space="0" w:color="auto"/>
        <w:right w:val="none" w:sz="0" w:space="0" w:color="auto"/>
      </w:divBdr>
    </w:div>
    <w:div w:id="461078304">
      <w:bodyDiv w:val="1"/>
      <w:marLeft w:val="0"/>
      <w:marRight w:val="0"/>
      <w:marTop w:val="0"/>
      <w:marBottom w:val="0"/>
      <w:divBdr>
        <w:top w:val="none" w:sz="0" w:space="0" w:color="auto"/>
        <w:left w:val="none" w:sz="0" w:space="0" w:color="auto"/>
        <w:bottom w:val="none" w:sz="0" w:space="0" w:color="auto"/>
        <w:right w:val="none" w:sz="0" w:space="0" w:color="auto"/>
      </w:divBdr>
    </w:div>
    <w:div w:id="591813228">
      <w:bodyDiv w:val="1"/>
      <w:marLeft w:val="0"/>
      <w:marRight w:val="0"/>
      <w:marTop w:val="0"/>
      <w:marBottom w:val="0"/>
      <w:divBdr>
        <w:top w:val="none" w:sz="0" w:space="0" w:color="auto"/>
        <w:left w:val="none" w:sz="0" w:space="0" w:color="auto"/>
        <w:bottom w:val="none" w:sz="0" w:space="0" w:color="auto"/>
        <w:right w:val="none" w:sz="0" w:space="0" w:color="auto"/>
      </w:divBdr>
    </w:div>
    <w:div w:id="593706222">
      <w:bodyDiv w:val="1"/>
      <w:marLeft w:val="0"/>
      <w:marRight w:val="0"/>
      <w:marTop w:val="0"/>
      <w:marBottom w:val="0"/>
      <w:divBdr>
        <w:top w:val="none" w:sz="0" w:space="0" w:color="auto"/>
        <w:left w:val="none" w:sz="0" w:space="0" w:color="auto"/>
        <w:bottom w:val="none" w:sz="0" w:space="0" w:color="auto"/>
        <w:right w:val="none" w:sz="0" w:space="0" w:color="auto"/>
      </w:divBdr>
    </w:div>
    <w:div w:id="594902499">
      <w:bodyDiv w:val="1"/>
      <w:marLeft w:val="0"/>
      <w:marRight w:val="0"/>
      <w:marTop w:val="0"/>
      <w:marBottom w:val="0"/>
      <w:divBdr>
        <w:top w:val="none" w:sz="0" w:space="0" w:color="auto"/>
        <w:left w:val="none" w:sz="0" w:space="0" w:color="auto"/>
        <w:bottom w:val="none" w:sz="0" w:space="0" w:color="auto"/>
        <w:right w:val="none" w:sz="0" w:space="0" w:color="auto"/>
      </w:divBdr>
      <w:divsChild>
        <w:div w:id="704477010">
          <w:marLeft w:val="0"/>
          <w:marRight w:val="0"/>
          <w:marTop w:val="0"/>
          <w:marBottom w:val="0"/>
          <w:divBdr>
            <w:top w:val="none" w:sz="0" w:space="0" w:color="auto"/>
            <w:left w:val="none" w:sz="0" w:space="0" w:color="auto"/>
            <w:bottom w:val="none" w:sz="0" w:space="0" w:color="auto"/>
            <w:right w:val="none" w:sz="0" w:space="0" w:color="auto"/>
          </w:divBdr>
          <w:divsChild>
            <w:div w:id="10375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3">
      <w:bodyDiv w:val="1"/>
      <w:marLeft w:val="0"/>
      <w:marRight w:val="0"/>
      <w:marTop w:val="0"/>
      <w:marBottom w:val="0"/>
      <w:divBdr>
        <w:top w:val="none" w:sz="0" w:space="0" w:color="auto"/>
        <w:left w:val="none" w:sz="0" w:space="0" w:color="auto"/>
        <w:bottom w:val="none" w:sz="0" w:space="0" w:color="auto"/>
        <w:right w:val="none" w:sz="0" w:space="0" w:color="auto"/>
      </w:divBdr>
    </w:div>
    <w:div w:id="642004696">
      <w:bodyDiv w:val="1"/>
      <w:marLeft w:val="0"/>
      <w:marRight w:val="0"/>
      <w:marTop w:val="0"/>
      <w:marBottom w:val="0"/>
      <w:divBdr>
        <w:top w:val="none" w:sz="0" w:space="0" w:color="auto"/>
        <w:left w:val="none" w:sz="0" w:space="0" w:color="auto"/>
        <w:bottom w:val="none" w:sz="0" w:space="0" w:color="auto"/>
        <w:right w:val="none" w:sz="0" w:space="0" w:color="auto"/>
      </w:divBdr>
      <w:divsChild>
        <w:div w:id="924651248">
          <w:marLeft w:val="0"/>
          <w:marRight w:val="0"/>
          <w:marTop w:val="0"/>
          <w:marBottom w:val="0"/>
          <w:divBdr>
            <w:top w:val="none" w:sz="0" w:space="0" w:color="auto"/>
            <w:left w:val="none" w:sz="0" w:space="0" w:color="auto"/>
            <w:bottom w:val="none" w:sz="0" w:space="0" w:color="auto"/>
            <w:right w:val="none" w:sz="0" w:space="0" w:color="auto"/>
          </w:divBdr>
          <w:divsChild>
            <w:div w:id="3176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6718">
      <w:bodyDiv w:val="1"/>
      <w:marLeft w:val="0"/>
      <w:marRight w:val="0"/>
      <w:marTop w:val="0"/>
      <w:marBottom w:val="0"/>
      <w:divBdr>
        <w:top w:val="none" w:sz="0" w:space="0" w:color="auto"/>
        <w:left w:val="none" w:sz="0" w:space="0" w:color="auto"/>
        <w:bottom w:val="none" w:sz="0" w:space="0" w:color="auto"/>
        <w:right w:val="none" w:sz="0" w:space="0" w:color="auto"/>
      </w:divBdr>
    </w:div>
    <w:div w:id="730807432">
      <w:bodyDiv w:val="1"/>
      <w:marLeft w:val="0"/>
      <w:marRight w:val="0"/>
      <w:marTop w:val="0"/>
      <w:marBottom w:val="0"/>
      <w:divBdr>
        <w:top w:val="none" w:sz="0" w:space="0" w:color="auto"/>
        <w:left w:val="none" w:sz="0" w:space="0" w:color="auto"/>
        <w:bottom w:val="none" w:sz="0" w:space="0" w:color="auto"/>
        <w:right w:val="none" w:sz="0" w:space="0" w:color="auto"/>
      </w:divBdr>
    </w:div>
    <w:div w:id="793212714">
      <w:bodyDiv w:val="1"/>
      <w:marLeft w:val="0"/>
      <w:marRight w:val="0"/>
      <w:marTop w:val="0"/>
      <w:marBottom w:val="0"/>
      <w:divBdr>
        <w:top w:val="none" w:sz="0" w:space="0" w:color="auto"/>
        <w:left w:val="none" w:sz="0" w:space="0" w:color="auto"/>
        <w:bottom w:val="none" w:sz="0" w:space="0" w:color="auto"/>
        <w:right w:val="none" w:sz="0" w:space="0" w:color="auto"/>
      </w:divBdr>
    </w:div>
    <w:div w:id="828442379">
      <w:bodyDiv w:val="1"/>
      <w:marLeft w:val="0"/>
      <w:marRight w:val="0"/>
      <w:marTop w:val="0"/>
      <w:marBottom w:val="0"/>
      <w:divBdr>
        <w:top w:val="none" w:sz="0" w:space="0" w:color="auto"/>
        <w:left w:val="none" w:sz="0" w:space="0" w:color="auto"/>
        <w:bottom w:val="none" w:sz="0" w:space="0" w:color="auto"/>
        <w:right w:val="none" w:sz="0" w:space="0" w:color="auto"/>
      </w:divBdr>
    </w:div>
    <w:div w:id="833760378">
      <w:bodyDiv w:val="1"/>
      <w:marLeft w:val="0"/>
      <w:marRight w:val="0"/>
      <w:marTop w:val="0"/>
      <w:marBottom w:val="0"/>
      <w:divBdr>
        <w:top w:val="none" w:sz="0" w:space="0" w:color="auto"/>
        <w:left w:val="none" w:sz="0" w:space="0" w:color="auto"/>
        <w:bottom w:val="none" w:sz="0" w:space="0" w:color="auto"/>
        <w:right w:val="none" w:sz="0" w:space="0" w:color="auto"/>
      </w:divBdr>
    </w:div>
    <w:div w:id="837236549">
      <w:bodyDiv w:val="1"/>
      <w:marLeft w:val="0"/>
      <w:marRight w:val="0"/>
      <w:marTop w:val="0"/>
      <w:marBottom w:val="0"/>
      <w:divBdr>
        <w:top w:val="none" w:sz="0" w:space="0" w:color="auto"/>
        <w:left w:val="none" w:sz="0" w:space="0" w:color="auto"/>
        <w:bottom w:val="none" w:sz="0" w:space="0" w:color="auto"/>
        <w:right w:val="none" w:sz="0" w:space="0" w:color="auto"/>
      </w:divBdr>
      <w:divsChild>
        <w:div w:id="376703471">
          <w:marLeft w:val="0"/>
          <w:marRight w:val="0"/>
          <w:marTop w:val="0"/>
          <w:marBottom w:val="0"/>
          <w:divBdr>
            <w:top w:val="none" w:sz="0" w:space="0" w:color="auto"/>
            <w:left w:val="none" w:sz="0" w:space="0" w:color="auto"/>
            <w:bottom w:val="none" w:sz="0" w:space="0" w:color="auto"/>
            <w:right w:val="none" w:sz="0" w:space="0" w:color="auto"/>
          </w:divBdr>
          <w:divsChild>
            <w:div w:id="4309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8455">
      <w:bodyDiv w:val="1"/>
      <w:marLeft w:val="0"/>
      <w:marRight w:val="0"/>
      <w:marTop w:val="0"/>
      <w:marBottom w:val="0"/>
      <w:divBdr>
        <w:top w:val="none" w:sz="0" w:space="0" w:color="auto"/>
        <w:left w:val="none" w:sz="0" w:space="0" w:color="auto"/>
        <w:bottom w:val="none" w:sz="0" w:space="0" w:color="auto"/>
        <w:right w:val="none" w:sz="0" w:space="0" w:color="auto"/>
      </w:divBdr>
    </w:div>
    <w:div w:id="847986607">
      <w:bodyDiv w:val="1"/>
      <w:marLeft w:val="0"/>
      <w:marRight w:val="0"/>
      <w:marTop w:val="0"/>
      <w:marBottom w:val="0"/>
      <w:divBdr>
        <w:top w:val="none" w:sz="0" w:space="0" w:color="auto"/>
        <w:left w:val="none" w:sz="0" w:space="0" w:color="auto"/>
        <w:bottom w:val="none" w:sz="0" w:space="0" w:color="auto"/>
        <w:right w:val="none" w:sz="0" w:space="0" w:color="auto"/>
      </w:divBdr>
    </w:div>
    <w:div w:id="863136592">
      <w:bodyDiv w:val="1"/>
      <w:marLeft w:val="0"/>
      <w:marRight w:val="0"/>
      <w:marTop w:val="0"/>
      <w:marBottom w:val="0"/>
      <w:divBdr>
        <w:top w:val="none" w:sz="0" w:space="0" w:color="auto"/>
        <w:left w:val="none" w:sz="0" w:space="0" w:color="auto"/>
        <w:bottom w:val="none" w:sz="0" w:space="0" w:color="auto"/>
        <w:right w:val="none" w:sz="0" w:space="0" w:color="auto"/>
      </w:divBdr>
    </w:div>
    <w:div w:id="912277935">
      <w:bodyDiv w:val="1"/>
      <w:marLeft w:val="0"/>
      <w:marRight w:val="0"/>
      <w:marTop w:val="0"/>
      <w:marBottom w:val="0"/>
      <w:divBdr>
        <w:top w:val="none" w:sz="0" w:space="0" w:color="auto"/>
        <w:left w:val="none" w:sz="0" w:space="0" w:color="auto"/>
        <w:bottom w:val="none" w:sz="0" w:space="0" w:color="auto"/>
        <w:right w:val="none" w:sz="0" w:space="0" w:color="auto"/>
      </w:divBdr>
    </w:div>
    <w:div w:id="917910759">
      <w:bodyDiv w:val="1"/>
      <w:marLeft w:val="0"/>
      <w:marRight w:val="0"/>
      <w:marTop w:val="0"/>
      <w:marBottom w:val="0"/>
      <w:divBdr>
        <w:top w:val="none" w:sz="0" w:space="0" w:color="auto"/>
        <w:left w:val="none" w:sz="0" w:space="0" w:color="auto"/>
        <w:bottom w:val="none" w:sz="0" w:space="0" w:color="auto"/>
        <w:right w:val="none" w:sz="0" w:space="0" w:color="auto"/>
      </w:divBdr>
    </w:div>
    <w:div w:id="923957173">
      <w:bodyDiv w:val="1"/>
      <w:marLeft w:val="0"/>
      <w:marRight w:val="0"/>
      <w:marTop w:val="0"/>
      <w:marBottom w:val="0"/>
      <w:divBdr>
        <w:top w:val="none" w:sz="0" w:space="0" w:color="auto"/>
        <w:left w:val="none" w:sz="0" w:space="0" w:color="auto"/>
        <w:bottom w:val="none" w:sz="0" w:space="0" w:color="auto"/>
        <w:right w:val="none" w:sz="0" w:space="0" w:color="auto"/>
      </w:divBdr>
    </w:div>
    <w:div w:id="964458815">
      <w:bodyDiv w:val="1"/>
      <w:marLeft w:val="0"/>
      <w:marRight w:val="0"/>
      <w:marTop w:val="0"/>
      <w:marBottom w:val="0"/>
      <w:divBdr>
        <w:top w:val="none" w:sz="0" w:space="0" w:color="auto"/>
        <w:left w:val="none" w:sz="0" w:space="0" w:color="auto"/>
        <w:bottom w:val="none" w:sz="0" w:space="0" w:color="auto"/>
        <w:right w:val="none" w:sz="0" w:space="0" w:color="auto"/>
      </w:divBdr>
    </w:div>
    <w:div w:id="1053968374">
      <w:bodyDiv w:val="1"/>
      <w:marLeft w:val="0"/>
      <w:marRight w:val="0"/>
      <w:marTop w:val="0"/>
      <w:marBottom w:val="0"/>
      <w:divBdr>
        <w:top w:val="none" w:sz="0" w:space="0" w:color="auto"/>
        <w:left w:val="none" w:sz="0" w:space="0" w:color="auto"/>
        <w:bottom w:val="none" w:sz="0" w:space="0" w:color="auto"/>
        <w:right w:val="none" w:sz="0" w:space="0" w:color="auto"/>
      </w:divBdr>
    </w:div>
    <w:div w:id="1071580128">
      <w:bodyDiv w:val="1"/>
      <w:marLeft w:val="0"/>
      <w:marRight w:val="0"/>
      <w:marTop w:val="0"/>
      <w:marBottom w:val="0"/>
      <w:divBdr>
        <w:top w:val="none" w:sz="0" w:space="0" w:color="auto"/>
        <w:left w:val="none" w:sz="0" w:space="0" w:color="auto"/>
        <w:bottom w:val="none" w:sz="0" w:space="0" w:color="auto"/>
        <w:right w:val="none" w:sz="0" w:space="0" w:color="auto"/>
      </w:divBdr>
    </w:div>
    <w:div w:id="1162158148">
      <w:bodyDiv w:val="1"/>
      <w:marLeft w:val="0"/>
      <w:marRight w:val="0"/>
      <w:marTop w:val="0"/>
      <w:marBottom w:val="0"/>
      <w:divBdr>
        <w:top w:val="none" w:sz="0" w:space="0" w:color="auto"/>
        <w:left w:val="none" w:sz="0" w:space="0" w:color="auto"/>
        <w:bottom w:val="none" w:sz="0" w:space="0" w:color="auto"/>
        <w:right w:val="none" w:sz="0" w:space="0" w:color="auto"/>
      </w:divBdr>
    </w:div>
    <w:div w:id="1172601956">
      <w:bodyDiv w:val="1"/>
      <w:marLeft w:val="0"/>
      <w:marRight w:val="0"/>
      <w:marTop w:val="0"/>
      <w:marBottom w:val="0"/>
      <w:divBdr>
        <w:top w:val="none" w:sz="0" w:space="0" w:color="auto"/>
        <w:left w:val="none" w:sz="0" w:space="0" w:color="auto"/>
        <w:bottom w:val="none" w:sz="0" w:space="0" w:color="auto"/>
        <w:right w:val="none" w:sz="0" w:space="0" w:color="auto"/>
      </w:divBdr>
    </w:div>
    <w:div w:id="1322272625">
      <w:bodyDiv w:val="1"/>
      <w:marLeft w:val="0"/>
      <w:marRight w:val="0"/>
      <w:marTop w:val="0"/>
      <w:marBottom w:val="0"/>
      <w:divBdr>
        <w:top w:val="none" w:sz="0" w:space="0" w:color="auto"/>
        <w:left w:val="none" w:sz="0" w:space="0" w:color="auto"/>
        <w:bottom w:val="none" w:sz="0" w:space="0" w:color="auto"/>
        <w:right w:val="none" w:sz="0" w:space="0" w:color="auto"/>
      </w:divBdr>
    </w:div>
    <w:div w:id="1341851778">
      <w:bodyDiv w:val="1"/>
      <w:marLeft w:val="0"/>
      <w:marRight w:val="0"/>
      <w:marTop w:val="0"/>
      <w:marBottom w:val="0"/>
      <w:divBdr>
        <w:top w:val="none" w:sz="0" w:space="0" w:color="auto"/>
        <w:left w:val="none" w:sz="0" w:space="0" w:color="auto"/>
        <w:bottom w:val="none" w:sz="0" w:space="0" w:color="auto"/>
        <w:right w:val="none" w:sz="0" w:space="0" w:color="auto"/>
      </w:divBdr>
    </w:div>
    <w:div w:id="1387486598">
      <w:bodyDiv w:val="1"/>
      <w:marLeft w:val="0"/>
      <w:marRight w:val="0"/>
      <w:marTop w:val="0"/>
      <w:marBottom w:val="0"/>
      <w:divBdr>
        <w:top w:val="none" w:sz="0" w:space="0" w:color="auto"/>
        <w:left w:val="none" w:sz="0" w:space="0" w:color="auto"/>
        <w:bottom w:val="none" w:sz="0" w:space="0" w:color="auto"/>
        <w:right w:val="none" w:sz="0" w:space="0" w:color="auto"/>
      </w:divBdr>
    </w:div>
    <w:div w:id="1392269567">
      <w:bodyDiv w:val="1"/>
      <w:marLeft w:val="0"/>
      <w:marRight w:val="0"/>
      <w:marTop w:val="0"/>
      <w:marBottom w:val="0"/>
      <w:divBdr>
        <w:top w:val="none" w:sz="0" w:space="0" w:color="auto"/>
        <w:left w:val="none" w:sz="0" w:space="0" w:color="auto"/>
        <w:bottom w:val="none" w:sz="0" w:space="0" w:color="auto"/>
        <w:right w:val="none" w:sz="0" w:space="0" w:color="auto"/>
      </w:divBdr>
    </w:div>
    <w:div w:id="1439839260">
      <w:bodyDiv w:val="1"/>
      <w:marLeft w:val="0"/>
      <w:marRight w:val="0"/>
      <w:marTop w:val="0"/>
      <w:marBottom w:val="0"/>
      <w:divBdr>
        <w:top w:val="none" w:sz="0" w:space="0" w:color="auto"/>
        <w:left w:val="none" w:sz="0" w:space="0" w:color="auto"/>
        <w:bottom w:val="none" w:sz="0" w:space="0" w:color="auto"/>
        <w:right w:val="none" w:sz="0" w:space="0" w:color="auto"/>
      </w:divBdr>
    </w:div>
    <w:div w:id="1465389792">
      <w:bodyDiv w:val="1"/>
      <w:marLeft w:val="0"/>
      <w:marRight w:val="0"/>
      <w:marTop w:val="0"/>
      <w:marBottom w:val="0"/>
      <w:divBdr>
        <w:top w:val="none" w:sz="0" w:space="0" w:color="auto"/>
        <w:left w:val="none" w:sz="0" w:space="0" w:color="auto"/>
        <w:bottom w:val="none" w:sz="0" w:space="0" w:color="auto"/>
        <w:right w:val="none" w:sz="0" w:space="0" w:color="auto"/>
      </w:divBdr>
    </w:div>
    <w:div w:id="1520973556">
      <w:bodyDiv w:val="1"/>
      <w:marLeft w:val="0"/>
      <w:marRight w:val="0"/>
      <w:marTop w:val="0"/>
      <w:marBottom w:val="0"/>
      <w:divBdr>
        <w:top w:val="none" w:sz="0" w:space="0" w:color="auto"/>
        <w:left w:val="none" w:sz="0" w:space="0" w:color="auto"/>
        <w:bottom w:val="none" w:sz="0" w:space="0" w:color="auto"/>
        <w:right w:val="none" w:sz="0" w:space="0" w:color="auto"/>
      </w:divBdr>
      <w:divsChild>
        <w:div w:id="63375099">
          <w:marLeft w:val="0"/>
          <w:marRight w:val="0"/>
          <w:marTop w:val="0"/>
          <w:marBottom w:val="0"/>
          <w:divBdr>
            <w:top w:val="none" w:sz="0" w:space="0" w:color="auto"/>
            <w:left w:val="none" w:sz="0" w:space="0" w:color="auto"/>
            <w:bottom w:val="none" w:sz="0" w:space="0" w:color="auto"/>
            <w:right w:val="none" w:sz="0" w:space="0" w:color="auto"/>
          </w:divBdr>
          <w:divsChild>
            <w:div w:id="16674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8789">
      <w:bodyDiv w:val="1"/>
      <w:marLeft w:val="0"/>
      <w:marRight w:val="0"/>
      <w:marTop w:val="0"/>
      <w:marBottom w:val="0"/>
      <w:divBdr>
        <w:top w:val="none" w:sz="0" w:space="0" w:color="auto"/>
        <w:left w:val="none" w:sz="0" w:space="0" w:color="auto"/>
        <w:bottom w:val="none" w:sz="0" w:space="0" w:color="auto"/>
        <w:right w:val="none" w:sz="0" w:space="0" w:color="auto"/>
      </w:divBdr>
    </w:div>
    <w:div w:id="1543057458">
      <w:bodyDiv w:val="1"/>
      <w:marLeft w:val="0"/>
      <w:marRight w:val="0"/>
      <w:marTop w:val="0"/>
      <w:marBottom w:val="0"/>
      <w:divBdr>
        <w:top w:val="none" w:sz="0" w:space="0" w:color="auto"/>
        <w:left w:val="none" w:sz="0" w:space="0" w:color="auto"/>
        <w:bottom w:val="none" w:sz="0" w:space="0" w:color="auto"/>
        <w:right w:val="none" w:sz="0" w:space="0" w:color="auto"/>
      </w:divBdr>
    </w:div>
    <w:div w:id="1562592415">
      <w:bodyDiv w:val="1"/>
      <w:marLeft w:val="0"/>
      <w:marRight w:val="0"/>
      <w:marTop w:val="0"/>
      <w:marBottom w:val="0"/>
      <w:divBdr>
        <w:top w:val="none" w:sz="0" w:space="0" w:color="auto"/>
        <w:left w:val="none" w:sz="0" w:space="0" w:color="auto"/>
        <w:bottom w:val="none" w:sz="0" w:space="0" w:color="auto"/>
        <w:right w:val="none" w:sz="0" w:space="0" w:color="auto"/>
      </w:divBdr>
    </w:div>
    <w:div w:id="1571967756">
      <w:bodyDiv w:val="1"/>
      <w:marLeft w:val="0"/>
      <w:marRight w:val="0"/>
      <w:marTop w:val="0"/>
      <w:marBottom w:val="0"/>
      <w:divBdr>
        <w:top w:val="none" w:sz="0" w:space="0" w:color="auto"/>
        <w:left w:val="none" w:sz="0" w:space="0" w:color="auto"/>
        <w:bottom w:val="none" w:sz="0" w:space="0" w:color="auto"/>
        <w:right w:val="none" w:sz="0" w:space="0" w:color="auto"/>
      </w:divBdr>
    </w:div>
    <w:div w:id="1618948490">
      <w:bodyDiv w:val="1"/>
      <w:marLeft w:val="0"/>
      <w:marRight w:val="0"/>
      <w:marTop w:val="0"/>
      <w:marBottom w:val="0"/>
      <w:divBdr>
        <w:top w:val="none" w:sz="0" w:space="0" w:color="auto"/>
        <w:left w:val="none" w:sz="0" w:space="0" w:color="auto"/>
        <w:bottom w:val="none" w:sz="0" w:space="0" w:color="auto"/>
        <w:right w:val="none" w:sz="0" w:space="0" w:color="auto"/>
      </w:divBdr>
    </w:div>
    <w:div w:id="1653564361">
      <w:bodyDiv w:val="1"/>
      <w:marLeft w:val="0"/>
      <w:marRight w:val="0"/>
      <w:marTop w:val="0"/>
      <w:marBottom w:val="0"/>
      <w:divBdr>
        <w:top w:val="none" w:sz="0" w:space="0" w:color="auto"/>
        <w:left w:val="none" w:sz="0" w:space="0" w:color="auto"/>
        <w:bottom w:val="none" w:sz="0" w:space="0" w:color="auto"/>
        <w:right w:val="none" w:sz="0" w:space="0" w:color="auto"/>
      </w:divBdr>
    </w:div>
    <w:div w:id="1737311951">
      <w:bodyDiv w:val="1"/>
      <w:marLeft w:val="0"/>
      <w:marRight w:val="0"/>
      <w:marTop w:val="0"/>
      <w:marBottom w:val="0"/>
      <w:divBdr>
        <w:top w:val="none" w:sz="0" w:space="0" w:color="auto"/>
        <w:left w:val="none" w:sz="0" w:space="0" w:color="auto"/>
        <w:bottom w:val="none" w:sz="0" w:space="0" w:color="auto"/>
        <w:right w:val="none" w:sz="0" w:space="0" w:color="auto"/>
      </w:divBdr>
    </w:div>
    <w:div w:id="1750735226">
      <w:bodyDiv w:val="1"/>
      <w:marLeft w:val="0"/>
      <w:marRight w:val="0"/>
      <w:marTop w:val="0"/>
      <w:marBottom w:val="0"/>
      <w:divBdr>
        <w:top w:val="none" w:sz="0" w:space="0" w:color="auto"/>
        <w:left w:val="none" w:sz="0" w:space="0" w:color="auto"/>
        <w:bottom w:val="none" w:sz="0" w:space="0" w:color="auto"/>
        <w:right w:val="none" w:sz="0" w:space="0" w:color="auto"/>
      </w:divBdr>
    </w:div>
    <w:div w:id="1827284510">
      <w:bodyDiv w:val="1"/>
      <w:marLeft w:val="0"/>
      <w:marRight w:val="0"/>
      <w:marTop w:val="0"/>
      <w:marBottom w:val="0"/>
      <w:divBdr>
        <w:top w:val="none" w:sz="0" w:space="0" w:color="auto"/>
        <w:left w:val="none" w:sz="0" w:space="0" w:color="auto"/>
        <w:bottom w:val="none" w:sz="0" w:space="0" w:color="auto"/>
        <w:right w:val="none" w:sz="0" w:space="0" w:color="auto"/>
      </w:divBdr>
    </w:div>
    <w:div w:id="1830054626">
      <w:bodyDiv w:val="1"/>
      <w:marLeft w:val="0"/>
      <w:marRight w:val="0"/>
      <w:marTop w:val="0"/>
      <w:marBottom w:val="0"/>
      <w:divBdr>
        <w:top w:val="none" w:sz="0" w:space="0" w:color="auto"/>
        <w:left w:val="none" w:sz="0" w:space="0" w:color="auto"/>
        <w:bottom w:val="none" w:sz="0" w:space="0" w:color="auto"/>
        <w:right w:val="none" w:sz="0" w:space="0" w:color="auto"/>
      </w:divBdr>
    </w:div>
    <w:div w:id="1864441451">
      <w:bodyDiv w:val="1"/>
      <w:marLeft w:val="0"/>
      <w:marRight w:val="0"/>
      <w:marTop w:val="0"/>
      <w:marBottom w:val="0"/>
      <w:divBdr>
        <w:top w:val="none" w:sz="0" w:space="0" w:color="auto"/>
        <w:left w:val="none" w:sz="0" w:space="0" w:color="auto"/>
        <w:bottom w:val="none" w:sz="0" w:space="0" w:color="auto"/>
        <w:right w:val="none" w:sz="0" w:space="0" w:color="auto"/>
      </w:divBdr>
    </w:div>
    <w:div w:id="1912622115">
      <w:bodyDiv w:val="1"/>
      <w:marLeft w:val="0"/>
      <w:marRight w:val="0"/>
      <w:marTop w:val="0"/>
      <w:marBottom w:val="0"/>
      <w:divBdr>
        <w:top w:val="none" w:sz="0" w:space="0" w:color="auto"/>
        <w:left w:val="none" w:sz="0" w:space="0" w:color="auto"/>
        <w:bottom w:val="none" w:sz="0" w:space="0" w:color="auto"/>
        <w:right w:val="none" w:sz="0" w:space="0" w:color="auto"/>
      </w:divBdr>
    </w:div>
    <w:div w:id="1919822285">
      <w:bodyDiv w:val="1"/>
      <w:marLeft w:val="0"/>
      <w:marRight w:val="0"/>
      <w:marTop w:val="0"/>
      <w:marBottom w:val="0"/>
      <w:divBdr>
        <w:top w:val="none" w:sz="0" w:space="0" w:color="auto"/>
        <w:left w:val="none" w:sz="0" w:space="0" w:color="auto"/>
        <w:bottom w:val="none" w:sz="0" w:space="0" w:color="auto"/>
        <w:right w:val="none" w:sz="0" w:space="0" w:color="auto"/>
      </w:divBdr>
    </w:div>
    <w:div w:id="1944335131">
      <w:bodyDiv w:val="1"/>
      <w:marLeft w:val="0"/>
      <w:marRight w:val="0"/>
      <w:marTop w:val="0"/>
      <w:marBottom w:val="0"/>
      <w:divBdr>
        <w:top w:val="none" w:sz="0" w:space="0" w:color="auto"/>
        <w:left w:val="none" w:sz="0" w:space="0" w:color="auto"/>
        <w:bottom w:val="none" w:sz="0" w:space="0" w:color="auto"/>
        <w:right w:val="none" w:sz="0" w:space="0" w:color="auto"/>
      </w:divBdr>
    </w:div>
    <w:div w:id="1971940178">
      <w:bodyDiv w:val="1"/>
      <w:marLeft w:val="0"/>
      <w:marRight w:val="0"/>
      <w:marTop w:val="0"/>
      <w:marBottom w:val="0"/>
      <w:divBdr>
        <w:top w:val="none" w:sz="0" w:space="0" w:color="auto"/>
        <w:left w:val="none" w:sz="0" w:space="0" w:color="auto"/>
        <w:bottom w:val="none" w:sz="0" w:space="0" w:color="auto"/>
        <w:right w:val="none" w:sz="0" w:space="0" w:color="auto"/>
      </w:divBdr>
    </w:div>
    <w:div w:id="1972010982">
      <w:bodyDiv w:val="1"/>
      <w:marLeft w:val="0"/>
      <w:marRight w:val="0"/>
      <w:marTop w:val="0"/>
      <w:marBottom w:val="0"/>
      <w:divBdr>
        <w:top w:val="none" w:sz="0" w:space="0" w:color="auto"/>
        <w:left w:val="none" w:sz="0" w:space="0" w:color="auto"/>
        <w:bottom w:val="none" w:sz="0" w:space="0" w:color="auto"/>
        <w:right w:val="none" w:sz="0" w:space="0" w:color="auto"/>
      </w:divBdr>
    </w:div>
    <w:div w:id="2048555156">
      <w:bodyDiv w:val="1"/>
      <w:marLeft w:val="0"/>
      <w:marRight w:val="0"/>
      <w:marTop w:val="0"/>
      <w:marBottom w:val="0"/>
      <w:divBdr>
        <w:top w:val="none" w:sz="0" w:space="0" w:color="auto"/>
        <w:left w:val="none" w:sz="0" w:space="0" w:color="auto"/>
        <w:bottom w:val="none" w:sz="0" w:space="0" w:color="auto"/>
        <w:right w:val="none" w:sz="0" w:space="0" w:color="auto"/>
      </w:divBdr>
    </w:div>
    <w:div w:id="2063751501">
      <w:bodyDiv w:val="1"/>
      <w:marLeft w:val="0"/>
      <w:marRight w:val="0"/>
      <w:marTop w:val="0"/>
      <w:marBottom w:val="0"/>
      <w:divBdr>
        <w:top w:val="none" w:sz="0" w:space="0" w:color="auto"/>
        <w:left w:val="none" w:sz="0" w:space="0" w:color="auto"/>
        <w:bottom w:val="none" w:sz="0" w:space="0" w:color="auto"/>
        <w:right w:val="none" w:sz="0" w:space="0" w:color="auto"/>
      </w:divBdr>
    </w:div>
    <w:div w:id="2106613264">
      <w:bodyDiv w:val="1"/>
      <w:marLeft w:val="0"/>
      <w:marRight w:val="0"/>
      <w:marTop w:val="0"/>
      <w:marBottom w:val="0"/>
      <w:divBdr>
        <w:top w:val="none" w:sz="0" w:space="0" w:color="auto"/>
        <w:left w:val="none" w:sz="0" w:space="0" w:color="auto"/>
        <w:bottom w:val="none" w:sz="0" w:space="0" w:color="auto"/>
        <w:right w:val="none" w:sz="0" w:space="0" w:color="auto"/>
      </w:divBdr>
    </w:div>
    <w:div w:id="213963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foodpol.2024.102765" TargetMode="External"/><Relationship Id="rId13" Type="http://schemas.openxmlformats.org/officeDocument/2006/relationships/hyperlink" Target="https://doi.org/10.1016/j.econmod.2024.106914" TargetMode="External"/><Relationship Id="rId18" Type="http://schemas.openxmlformats.org/officeDocument/2006/relationships/hyperlink" Target="https://www.ers.usda.gov/publications/pub-details?pubid=104490" TargetMode="External"/><Relationship Id="rId3" Type="http://schemas.openxmlformats.org/officeDocument/2006/relationships/settings" Target="settings.xml"/><Relationship Id="rId21" Type="http://schemas.openxmlformats.org/officeDocument/2006/relationships/hyperlink" Target="https://fred.stlouisfed.org/series/APU0000703112" TargetMode="External"/><Relationship Id="rId7" Type="http://schemas.openxmlformats.org/officeDocument/2006/relationships/image" Target="media/image1.jpeg"/><Relationship Id="rId12" Type="http://schemas.openxmlformats.org/officeDocument/2006/relationships/hyperlink" Target="https://doi.org/10.1016/j.econmod.2024.106914" TargetMode="External"/><Relationship Id="rId17" Type="http://schemas.openxmlformats.org/officeDocument/2006/relationships/hyperlink" Target="https://www.ers.usda.gov/data-products/livestock-and-meat-international-trade-data" TargetMode="External"/><Relationship Id="rId2" Type="http://schemas.openxmlformats.org/officeDocument/2006/relationships/styles" Target="styles.xml"/><Relationship Id="rId16" Type="http://schemas.openxmlformats.org/officeDocument/2006/relationships/hyperlink" Target="https://www.marketnews.usda.gov/mnp/hm-home" TargetMode="External"/><Relationship Id="rId20" Type="http://schemas.openxmlformats.org/officeDocument/2006/relationships/hyperlink" Target="https://fred.stlouisfed.org/series/APU0000708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neco.2023.106605" TargetMode="External"/><Relationship Id="rId5" Type="http://schemas.openxmlformats.org/officeDocument/2006/relationships/footnotes" Target="footnotes.xml"/><Relationship Id="rId15" Type="http://schemas.openxmlformats.org/officeDocument/2006/relationships/hyperlink" Target="https://doi.org/10.1596/1813-9450-9253" TargetMode="External"/><Relationship Id="rId23" Type="http://schemas.openxmlformats.org/officeDocument/2006/relationships/theme" Target="theme/theme1.xml"/><Relationship Id="rId10" Type="http://schemas.openxmlformats.org/officeDocument/2006/relationships/hyperlink" Target="https://doi.org/10.1038/s43016-023-00729-6" TargetMode="External"/><Relationship Id="rId19" Type="http://schemas.openxmlformats.org/officeDocument/2006/relationships/hyperlink" Target="https://www.ers.usda.gov/data-products/food-price-outlook" TargetMode="External"/><Relationship Id="rId4" Type="http://schemas.openxmlformats.org/officeDocument/2006/relationships/webSettings" Target="webSettings.xml"/><Relationship Id="rId9" Type="http://schemas.openxmlformats.org/officeDocument/2006/relationships/hyperlink" Target="https://doi.org/10.1016/j.foodpol.2024.102765" TargetMode="External"/><Relationship Id="rId14" Type="http://schemas.openxmlformats.org/officeDocument/2006/relationships/hyperlink" Target="https://ers.usda.gov/sites/default/files/_laserfiche/publications/104491/TB-1957.pdf?v=8463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Dasari</dc:creator>
  <cp:keywords/>
  <dc:description/>
  <cp:lastModifiedBy>Sandeep Dasari</cp:lastModifiedBy>
  <cp:revision>14</cp:revision>
  <dcterms:created xsi:type="dcterms:W3CDTF">2025-04-02T01:49:00Z</dcterms:created>
  <dcterms:modified xsi:type="dcterms:W3CDTF">2025-04-16T02:00:00Z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2025-03-30T19:39:54Z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7e37e893-4f97-4456-b90b-66c918a62f91</vt:lpwstr>
  </property>
  <property fmtid="{D5CDD505-2E9C-101B-9397-08002B2CF9AE}" pid="8" name="MSIP_Label_defa4170-0d19-0005-0004-bc88714345d2_ContentBits">
    <vt:lpwstr>0</vt:lpwstr>
  </property>
</Properties>
</file>