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02090" w14:textId="77777777" w:rsidR="00EA11D4" w:rsidRPr="00EA11D4" w:rsidRDefault="00EA11D4" w:rsidP="00EA11D4">
      <w:pPr>
        <w:spacing w:before="24" w:after="24" w:line="264" w:lineRule="atLeast"/>
        <w:outlineLvl w:val="0"/>
        <w:rPr>
          <w:rFonts w:ascii="Source Sans Pro" w:eastAsia="Times New Roman" w:hAnsi="Source Sans Pro" w:cs="Times New Roman"/>
          <w:color w:val="292F40"/>
          <w:kern w:val="36"/>
          <w:sz w:val="69"/>
          <w:szCs w:val="69"/>
          <w:lang w:eastAsia="en-IN"/>
        </w:rPr>
      </w:pPr>
      <w:r w:rsidRPr="00EA11D4">
        <w:rPr>
          <w:rFonts w:ascii="Source Sans Pro" w:eastAsia="Times New Roman" w:hAnsi="Source Sans Pro" w:cs="Times New Roman"/>
          <w:color w:val="292F40"/>
          <w:kern w:val="36"/>
          <w:sz w:val="69"/>
          <w:szCs w:val="69"/>
          <w:lang w:eastAsia="en-IN"/>
        </w:rPr>
        <w:t>Debt Financing</w:t>
      </w:r>
    </w:p>
    <w:p w14:paraId="2B2DD761" w14:textId="77777777" w:rsidR="00EA11D4" w:rsidRPr="00EA11D4" w:rsidRDefault="00EA11D4" w:rsidP="00EA11D4">
      <w:pPr>
        <w:spacing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Loading the player...</w:t>
      </w:r>
    </w:p>
    <w:p w14:paraId="18AC7E61" w14:textId="77777777" w:rsidR="00EA11D4" w:rsidRPr="00EA11D4" w:rsidRDefault="00EA11D4" w:rsidP="00EA11D4">
      <w:pPr>
        <w:spacing w:before="24" w:after="0" w:line="360" w:lineRule="atLeast"/>
        <w:outlineLvl w:val="1"/>
        <w:rPr>
          <w:rFonts w:ascii="Source Sans Pro" w:eastAsia="Times New Roman" w:hAnsi="Source Sans Pro" w:cs="Times New Roman"/>
          <w:b/>
          <w:bCs/>
          <w:color w:val="362F2D"/>
          <w:sz w:val="35"/>
          <w:szCs w:val="35"/>
          <w:lang w:eastAsia="en-IN"/>
        </w:rPr>
      </w:pPr>
      <w:r w:rsidRPr="00EA11D4">
        <w:rPr>
          <w:rFonts w:ascii="Source Sans Pro" w:eastAsia="Times New Roman" w:hAnsi="Source Sans Pro" w:cs="Times New Roman"/>
          <w:b/>
          <w:bCs/>
          <w:color w:val="362F2D"/>
          <w:sz w:val="35"/>
          <w:szCs w:val="35"/>
          <w:lang w:eastAsia="en-IN"/>
        </w:rPr>
        <w:t>What is 'Debt Financing'</w:t>
      </w:r>
    </w:p>
    <w:p w14:paraId="2C79166C"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Debt financing occurs when a firm raises money for working capital or capital expenditures by selling debt instruments to individuals and/or institutional investors. In return for lending the money, the individuals or institutions become creditors and receive a promise that the principal and interest on the debt will be repaid.</w:t>
      </w:r>
    </w:p>
    <w:p w14:paraId="3C5DF624"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The other way to raise capital in the debt markets is to issue shares of stock in a public offering; this is called </w:t>
      </w:r>
      <w:hyperlink r:id="rId5" w:history="1">
        <w:r w:rsidRPr="00EA11D4">
          <w:rPr>
            <w:rFonts w:ascii="Source Sans Pro" w:eastAsia="Times New Roman" w:hAnsi="Source Sans Pro" w:cs="Times New Roman"/>
            <w:color w:val="005B9D"/>
            <w:sz w:val="26"/>
            <w:szCs w:val="26"/>
            <w:lang w:eastAsia="en-IN"/>
          </w:rPr>
          <w:t>equity financing</w:t>
        </w:r>
      </w:hyperlink>
      <w:r w:rsidRPr="00EA11D4">
        <w:rPr>
          <w:rFonts w:ascii="Source Sans Pro" w:eastAsia="Times New Roman" w:hAnsi="Source Sans Pro" w:cs="Times New Roman"/>
          <w:color w:val="111111"/>
          <w:sz w:val="26"/>
          <w:szCs w:val="26"/>
          <w:lang w:eastAsia="en-IN"/>
        </w:rPr>
        <w:t>.</w:t>
      </w:r>
    </w:p>
    <w:p w14:paraId="7BB892CC" w14:textId="77777777" w:rsidR="00EA11D4" w:rsidRPr="00EA11D4" w:rsidRDefault="00EA11D4" w:rsidP="00EA11D4">
      <w:pPr>
        <w:spacing w:after="0" w:line="360" w:lineRule="atLeast"/>
        <w:rPr>
          <w:rFonts w:ascii="Source Sans Pro" w:eastAsia="Times New Roman" w:hAnsi="Source Sans Pro" w:cs="Times New Roman"/>
          <w:i/>
          <w:iCs/>
          <w:color w:val="111111"/>
          <w:sz w:val="27"/>
          <w:szCs w:val="27"/>
          <w:lang w:eastAsia="en-IN"/>
        </w:rPr>
      </w:pPr>
      <w:r w:rsidRPr="00EA11D4">
        <w:rPr>
          <w:rFonts w:ascii="Source Sans Pro" w:eastAsia="Times New Roman" w:hAnsi="Source Sans Pro" w:cs="Times New Roman"/>
          <w:i/>
          <w:iCs/>
          <w:color w:val="111111"/>
          <w:sz w:val="27"/>
          <w:szCs w:val="27"/>
          <w:lang w:eastAsia="en-IN"/>
        </w:rPr>
        <w:t>Next Up</w:t>
      </w:r>
    </w:p>
    <w:p w14:paraId="72E4A680" w14:textId="77777777" w:rsidR="00EA11D4" w:rsidRPr="00EA11D4" w:rsidRDefault="00EA11D4" w:rsidP="00EA11D4">
      <w:pPr>
        <w:numPr>
          <w:ilvl w:val="0"/>
          <w:numId w:val="1"/>
        </w:numPr>
        <w:pBdr>
          <w:top w:val="single" w:sz="6" w:space="0" w:color="CCCCCC"/>
          <w:left w:val="single" w:sz="6" w:space="4" w:color="CCCCCC"/>
          <w:bottom w:val="single" w:sz="6" w:space="0" w:color="CCCCCC"/>
          <w:right w:val="single" w:sz="6" w:space="4" w:color="CCCCCC"/>
        </w:pBdr>
        <w:spacing w:after="0" w:line="264" w:lineRule="atLeast"/>
        <w:ind w:left="0"/>
        <w:jc w:val="center"/>
        <w:textAlignment w:val="center"/>
        <w:outlineLvl w:val="2"/>
        <w:rPr>
          <w:rFonts w:ascii="Source Sans Pro" w:eastAsia="Times New Roman" w:hAnsi="Source Sans Pro" w:cs="Times New Roman"/>
          <w:b/>
          <w:bCs/>
          <w:caps/>
          <w:color w:val="362F2D"/>
          <w:sz w:val="18"/>
          <w:szCs w:val="18"/>
          <w:lang w:eastAsia="en-IN"/>
        </w:rPr>
      </w:pPr>
      <w:hyperlink r:id="rId6" w:history="1">
        <w:r w:rsidRPr="00EA11D4">
          <w:rPr>
            <w:rFonts w:ascii="Source Sans Pro" w:eastAsia="Times New Roman" w:hAnsi="Source Sans Pro" w:cs="Times New Roman"/>
            <w:b/>
            <w:bCs/>
            <w:caps/>
            <w:color w:val="005B9D"/>
            <w:sz w:val="18"/>
            <w:szCs w:val="18"/>
            <w:lang w:eastAsia="en-IN"/>
          </w:rPr>
          <w:t>LONG-TERM DEBT TO CAPITALIZATION ...</w:t>
        </w:r>
      </w:hyperlink>
    </w:p>
    <w:p w14:paraId="48D46939" w14:textId="77777777" w:rsidR="00EA11D4" w:rsidRPr="00EA11D4" w:rsidRDefault="00EA11D4" w:rsidP="00EA11D4">
      <w:pPr>
        <w:numPr>
          <w:ilvl w:val="0"/>
          <w:numId w:val="1"/>
        </w:numPr>
        <w:pBdr>
          <w:top w:val="single" w:sz="6" w:space="8" w:color="CCCCCC"/>
          <w:left w:val="single" w:sz="6" w:space="4" w:color="CCCCCC"/>
          <w:bottom w:val="single" w:sz="6" w:space="8" w:color="CCCCCC"/>
          <w:right w:val="single" w:sz="6" w:space="4" w:color="CCCCCC"/>
        </w:pBdr>
        <w:spacing w:after="0" w:line="264" w:lineRule="atLeast"/>
        <w:ind w:left="0"/>
        <w:jc w:val="center"/>
        <w:textAlignment w:val="center"/>
        <w:outlineLvl w:val="2"/>
        <w:rPr>
          <w:rFonts w:ascii="Source Sans Pro" w:eastAsia="Times New Roman" w:hAnsi="Source Sans Pro" w:cs="Times New Roman"/>
          <w:b/>
          <w:bCs/>
          <w:caps/>
          <w:color w:val="362F2D"/>
          <w:sz w:val="18"/>
          <w:szCs w:val="18"/>
          <w:lang w:eastAsia="en-IN"/>
        </w:rPr>
      </w:pPr>
      <w:hyperlink r:id="rId7" w:history="1">
        <w:r w:rsidRPr="00EA11D4">
          <w:rPr>
            <w:rFonts w:ascii="Source Sans Pro" w:eastAsia="Times New Roman" w:hAnsi="Source Sans Pro" w:cs="Times New Roman"/>
            <w:b/>
            <w:bCs/>
            <w:caps/>
            <w:color w:val="005B9D"/>
            <w:sz w:val="18"/>
            <w:szCs w:val="18"/>
            <w:lang w:eastAsia="en-IN"/>
          </w:rPr>
          <w:t>COST OF CAPITAL</w:t>
        </w:r>
      </w:hyperlink>
    </w:p>
    <w:p w14:paraId="17D578C4" w14:textId="77777777" w:rsidR="00EA11D4" w:rsidRPr="00EA11D4" w:rsidRDefault="00EA11D4" w:rsidP="00EA11D4">
      <w:pPr>
        <w:numPr>
          <w:ilvl w:val="0"/>
          <w:numId w:val="1"/>
        </w:numPr>
        <w:pBdr>
          <w:top w:val="single" w:sz="6" w:space="8" w:color="CCCCCC"/>
          <w:left w:val="single" w:sz="6" w:space="4" w:color="CCCCCC"/>
          <w:bottom w:val="single" w:sz="6" w:space="8" w:color="CCCCCC"/>
          <w:right w:val="single" w:sz="6" w:space="4" w:color="CCCCCC"/>
        </w:pBdr>
        <w:spacing w:after="0" w:line="264" w:lineRule="atLeast"/>
        <w:ind w:left="0"/>
        <w:jc w:val="center"/>
        <w:textAlignment w:val="center"/>
        <w:outlineLvl w:val="2"/>
        <w:rPr>
          <w:rFonts w:ascii="Source Sans Pro" w:eastAsia="Times New Roman" w:hAnsi="Source Sans Pro" w:cs="Times New Roman"/>
          <w:b/>
          <w:bCs/>
          <w:caps/>
          <w:color w:val="362F2D"/>
          <w:sz w:val="18"/>
          <w:szCs w:val="18"/>
          <w:lang w:eastAsia="en-IN"/>
        </w:rPr>
      </w:pPr>
      <w:hyperlink r:id="rId8" w:history="1">
        <w:r w:rsidRPr="00EA11D4">
          <w:rPr>
            <w:rFonts w:ascii="Source Sans Pro" w:eastAsia="Times New Roman" w:hAnsi="Source Sans Pro" w:cs="Times New Roman"/>
            <w:b/>
            <w:bCs/>
            <w:caps/>
            <w:color w:val="005B9D"/>
            <w:sz w:val="18"/>
            <w:szCs w:val="18"/>
            <w:lang w:eastAsia="en-IN"/>
          </w:rPr>
          <w:t>FUNDED DEBT</w:t>
        </w:r>
      </w:hyperlink>
    </w:p>
    <w:p w14:paraId="7386AE7F" w14:textId="77777777" w:rsidR="00EA11D4" w:rsidRPr="00EA11D4" w:rsidRDefault="00EA11D4" w:rsidP="00EA11D4">
      <w:pPr>
        <w:numPr>
          <w:ilvl w:val="0"/>
          <w:numId w:val="1"/>
        </w:numPr>
        <w:pBdr>
          <w:top w:val="single" w:sz="6" w:space="8" w:color="CCCCCC"/>
          <w:left w:val="single" w:sz="6" w:space="4" w:color="CCCCCC"/>
          <w:bottom w:val="single" w:sz="6" w:space="8" w:color="CCCCCC"/>
          <w:right w:val="single" w:sz="6" w:space="4" w:color="CCCCCC"/>
        </w:pBdr>
        <w:spacing w:after="0" w:line="264" w:lineRule="atLeast"/>
        <w:ind w:left="0"/>
        <w:jc w:val="center"/>
        <w:textAlignment w:val="center"/>
        <w:outlineLvl w:val="2"/>
        <w:rPr>
          <w:rFonts w:ascii="Source Sans Pro" w:eastAsia="Times New Roman" w:hAnsi="Source Sans Pro" w:cs="Times New Roman"/>
          <w:b/>
          <w:bCs/>
          <w:caps/>
          <w:color w:val="362F2D"/>
          <w:sz w:val="18"/>
          <w:szCs w:val="18"/>
          <w:lang w:eastAsia="en-IN"/>
        </w:rPr>
      </w:pPr>
      <w:hyperlink r:id="rId9" w:history="1">
        <w:r w:rsidRPr="00EA11D4">
          <w:rPr>
            <w:rFonts w:ascii="Source Sans Pro" w:eastAsia="Times New Roman" w:hAnsi="Source Sans Pro" w:cs="Times New Roman"/>
            <w:b/>
            <w:bCs/>
            <w:caps/>
            <w:color w:val="005B9D"/>
            <w:sz w:val="18"/>
            <w:szCs w:val="18"/>
            <w:lang w:eastAsia="en-IN"/>
          </w:rPr>
          <w:t>DEBT SERVICE</w:t>
        </w:r>
      </w:hyperlink>
    </w:p>
    <w:p w14:paraId="10E1404A" w14:textId="77777777" w:rsidR="00EA11D4" w:rsidRPr="00EA11D4" w:rsidRDefault="00EA11D4" w:rsidP="00EA11D4">
      <w:pPr>
        <w:numPr>
          <w:ilvl w:val="0"/>
          <w:numId w:val="1"/>
        </w:numPr>
        <w:pBdr>
          <w:top w:val="single" w:sz="6" w:space="0" w:color="A62436"/>
          <w:left w:val="single" w:sz="6" w:space="0" w:color="A62436"/>
          <w:bottom w:val="single" w:sz="6" w:space="0" w:color="A62436"/>
          <w:right w:val="single" w:sz="6" w:space="0" w:color="A62436"/>
        </w:pBdr>
        <w:shd w:val="clear" w:color="auto" w:fill="A62436"/>
        <w:spacing w:beforeAutospacing="1" w:after="0" w:afterAutospacing="1" w:line="225" w:lineRule="atLeast"/>
        <w:ind w:left="0"/>
        <w:jc w:val="center"/>
        <w:textAlignment w:val="center"/>
        <w:rPr>
          <w:rFonts w:ascii="Source Sans Pro" w:eastAsia="Times New Roman" w:hAnsi="Source Sans Pro" w:cs="Times New Roman"/>
          <w:color w:val="111111"/>
          <w:sz w:val="18"/>
          <w:szCs w:val="18"/>
          <w:lang w:eastAsia="en-IN"/>
        </w:rPr>
      </w:pPr>
    </w:p>
    <w:p w14:paraId="2C6C1DFE" w14:textId="77777777" w:rsidR="00EA11D4" w:rsidRPr="00EA11D4" w:rsidRDefault="00EA11D4" w:rsidP="00EA11D4">
      <w:pPr>
        <w:spacing w:before="24" w:after="0" w:line="360" w:lineRule="atLeast"/>
        <w:outlineLvl w:val="1"/>
        <w:rPr>
          <w:rFonts w:ascii="Source Sans Pro" w:eastAsia="Times New Roman" w:hAnsi="Source Sans Pro" w:cs="Times New Roman"/>
          <w:b/>
          <w:bCs/>
          <w:color w:val="362F2D"/>
          <w:sz w:val="35"/>
          <w:szCs w:val="35"/>
          <w:lang w:eastAsia="en-IN"/>
        </w:rPr>
      </w:pPr>
      <w:r w:rsidRPr="00EA11D4">
        <w:rPr>
          <w:rFonts w:ascii="Source Sans Pro" w:eastAsia="Times New Roman" w:hAnsi="Source Sans Pro" w:cs="Times New Roman"/>
          <w:b/>
          <w:bCs/>
          <w:color w:val="362F2D"/>
          <w:sz w:val="35"/>
          <w:szCs w:val="35"/>
          <w:lang w:eastAsia="en-IN"/>
        </w:rPr>
        <w:t>BREAKING DOWN 'Debt Financing'</w:t>
      </w:r>
    </w:p>
    <w:p w14:paraId="4AC75B36"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When a company needs money, it can take three routes to obtain financing: equity, debt, or some hybrid of the two. Equity represents an ownership stake in the company. It gives the shareholder a claim on future earnings, but it does not need to be paid back. If the company goes bankrupt, equity holders are the last in line to receive money. The other route a company can take to raise capital for its business is by issuing debt - a process known as debt fin</w:t>
      </w:r>
      <w:bookmarkStart w:id="0" w:name="_GoBack"/>
      <w:bookmarkEnd w:id="0"/>
      <w:r w:rsidRPr="00EA11D4">
        <w:rPr>
          <w:rFonts w:ascii="Source Sans Pro" w:eastAsia="Times New Roman" w:hAnsi="Source Sans Pro" w:cs="Times New Roman"/>
          <w:color w:val="111111"/>
          <w:sz w:val="26"/>
          <w:szCs w:val="26"/>
          <w:lang w:eastAsia="en-IN"/>
        </w:rPr>
        <w:t>ancing.</w:t>
      </w:r>
    </w:p>
    <w:p w14:paraId="5D02FA76"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Debt financing occurs when a firm sells </w:t>
      </w:r>
      <w:hyperlink r:id="rId10" w:history="1">
        <w:r w:rsidRPr="00EA11D4">
          <w:rPr>
            <w:rFonts w:ascii="Source Sans Pro" w:eastAsia="Times New Roman" w:hAnsi="Source Sans Pro" w:cs="Times New Roman"/>
            <w:color w:val="005B9D"/>
            <w:sz w:val="26"/>
            <w:szCs w:val="26"/>
            <w:lang w:eastAsia="en-IN"/>
          </w:rPr>
          <w:t>fixed income</w:t>
        </w:r>
      </w:hyperlink>
      <w:r w:rsidRPr="00EA11D4">
        <w:rPr>
          <w:rFonts w:ascii="Source Sans Pro" w:eastAsia="Times New Roman" w:hAnsi="Source Sans Pro" w:cs="Times New Roman"/>
          <w:color w:val="111111"/>
          <w:sz w:val="26"/>
          <w:szCs w:val="26"/>
          <w:lang w:eastAsia="en-IN"/>
        </w:rPr>
        <w:t> products, such as bonds, bills, or notes, to investors to obtain the capital needed to grow and expand its operations. When a company issues a bond, the investors that purchase the bond are lenders who are either retail or institutional investors that provide the company with debt financing. The amount of the investment loan, referred to as the principal, must be paid back at some agreed date in the future. If the company goes bankrupt, lenders have a higher claim on any liquidated assets than shareholders. </w:t>
      </w:r>
    </w:p>
    <w:p w14:paraId="564F6485" w14:textId="77777777" w:rsidR="00EA11D4" w:rsidRPr="00EA11D4" w:rsidRDefault="00EA11D4" w:rsidP="00EA11D4">
      <w:pPr>
        <w:spacing w:before="24" w:after="0" w:line="360" w:lineRule="atLeast"/>
        <w:outlineLvl w:val="1"/>
        <w:rPr>
          <w:rFonts w:ascii="Source Sans Pro" w:eastAsia="Times New Roman" w:hAnsi="Source Sans Pro" w:cs="Times New Roman"/>
          <w:b/>
          <w:bCs/>
          <w:color w:val="362F2D"/>
          <w:sz w:val="35"/>
          <w:szCs w:val="35"/>
          <w:lang w:eastAsia="en-IN"/>
        </w:rPr>
      </w:pPr>
      <w:r w:rsidRPr="00EA11D4">
        <w:rPr>
          <w:rFonts w:ascii="Source Sans Pro" w:eastAsia="Times New Roman" w:hAnsi="Source Sans Pro" w:cs="Times New Roman"/>
          <w:b/>
          <w:bCs/>
          <w:color w:val="362F2D"/>
          <w:sz w:val="35"/>
          <w:szCs w:val="35"/>
          <w:lang w:eastAsia="en-IN"/>
        </w:rPr>
        <w:t>Cost of Debt Financing</w:t>
      </w:r>
    </w:p>
    <w:p w14:paraId="3ED0327C"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lastRenderedPageBreak/>
        <w:t>A firm's capital structure is made up of equity and debt. The </w:t>
      </w:r>
      <w:hyperlink r:id="rId11" w:history="1">
        <w:r w:rsidRPr="00EA11D4">
          <w:rPr>
            <w:rFonts w:ascii="Source Sans Pro" w:eastAsia="Times New Roman" w:hAnsi="Source Sans Pro" w:cs="Times New Roman"/>
            <w:color w:val="005B9D"/>
            <w:sz w:val="26"/>
            <w:szCs w:val="26"/>
            <w:lang w:eastAsia="en-IN"/>
          </w:rPr>
          <w:t>cost of equity</w:t>
        </w:r>
      </w:hyperlink>
      <w:r w:rsidRPr="00EA11D4">
        <w:rPr>
          <w:rFonts w:ascii="Source Sans Pro" w:eastAsia="Times New Roman" w:hAnsi="Source Sans Pro" w:cs="Times New Roman"/>
          <w:color w:val="111111"/>
          <w:sz w:val="26"/>
          <w:szCs w:val="26"/>
          <w:lang w:eastAsia="en-IN"/>
        </w:rPr>
        <w:t> is the dividend payments to shareholders, and the </w:t>
      </w:r>
      <w:hyperlink r:id="rId12" w:history="1">
        <w:r w:rsidRPr="00EA11D4">
          <w:rPr>
            <w:rFonts w:ascii="Source Sans Pro" w:eastAsia="Times New Roman" w:hAnsi="Source Sans Pro" w:cs="Times New Roman"/>
            <w:color w:val="005B9D"/>
            <w:sz w:val="26"/>
            <w:szCs w:val="26"/>
            <w:lang w:eastAsia="en-IN"/>
          </w:rPr>
          <w:t>cost of debt</w:t>
        </w:r>
      </w:hyperlink>
      <w:r w:rsidRPr="00EA11D4">
        <w:rPr>
          <w:rFonts w:ascii="Source Sans Pro" w:eastAsia="Times New Roman" w:hAnsi="Source Sans Pro" w:cs="Times New Roman"/>
          <w:color w:val="111111"/>
          <w:sz w:val="26"/>
          <w:szCs w:val="26"/>
          <w:lang w:eastAsia="en-IN"/>
        </w:rPr>
        <w:t> is the interest payment to bondholders. When a company issues debt, not only does it promise to repay the principal amount, it also promises to compensate its bondholders by making interest payments, known as </w:t>
      </w:r>
      <w:hyperlink r:id="rId13" w:history="1">
        <w:r w:rsidRPr="00EA11D4">
          <w:rPr>
            <w:rFonts w:ascii="Source Sans Pro" w:eastAsia="Times New Roman" w:hAnsi="Source Sans Pro" w:cs="Times New Roman"/>
            <w:color w:val="005B9D"/>
            <w:sz w:val="26"/>
            <w:szCs w:val="26"/>
            <w:lang w:eastAsia="en-IN"/>
          </w:rPr>
          <w:t>coupon payments</w:t>
        </w:r>
      </w:hyperlink>
      <w:r w:rsidRPr="00EA11D4">
        <w:rPr>
          <w:rFonts w:ascii="Source Sans Pro" w:eastAsia="Times New Roman" w:hAnsi="Source Sans Pro" w:cs="Times New Roman"/>
          <w:color w:val="111111"/>
          <w:sz w:val="26"/>
          <w:szCs w:val="26"/>
          <w:lang w:eastAsia="en-IN"/>
        </w:rPr>
        <w:t>, to them annually. The interest rate paid on these debt instruments represent the cost of borrowing to the issuer.</w:t>
      </w:r>
    </w:p>
    <w:p w14:paraId="542D95AA"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The sum of the cost of equity financing and debt financing is a company's </w:t>
      </w:r>
      <w:hyperlink r:id="rId14" w:history="1">
        <w:r w:rsidRPr="00EA11D4">
          <w:rPr>
            <w:rFonts w:ascii="Source Sans Pro" w:eastAsia="Times New Roman" w:hAnsi="Source Sans Pro" w:cs="Times New Roman"/>
            <w:color w:val="005B9D"/>
            <w:sz w:val="26"/>
            <w:szCs w:val="26"/>
            <w:lang w:eastAsia="en-IN"/>
          </w:rPr>
          <w:t>cost of capital</w:t>
        </w:r>
      </w:hyperlink>
      <w:r w:rsidRPr="00EA11D4">
        <w:rPr>
          <w:rFonts w:ascii="Source Sans Pro" w:eastAsia="Times New Roman" w:hAnsi="Source Sans Pro" w:cs="Times New Roman"/>
          <w:color w:val="111111"/>
          <w:sz w:val="26"/>
          <w:szCs w:val="26"/>
          <w:lang w:eastAsia="en-IN"/>
        </w:rPr>
        <w:t xml:space="preserve">. The cost of capital represents the minimum return that a company must earn on </w:t>
      </w:r>
      <w:proofErr w:type="spellStart"/>
      <w:r w:rsidRPr="00EA11D4">
        <w:rPr>
          <w:rFonts w:ascii="Source Sans Pro" w:eastAsia="Times New Roman" w:hAnsi="Source Sans Pro" w:cs="Times New Roman"/>
          <w:color w:val="111111"/>
          <w:sz w:val="26"/>
          <w:szCs w:val="26"/>
          <w:lang w:eastAsia="en-IN"/>
        </w:rPr>
        <w:t>ts</w:t>
      </w:r>
      <w:proofErr w:type="spellEnd"/>
      <w:r w:rsidRPr="00EA11D4">
        <w:rPr>
          <w:rFonts w:ascii="Source Sans Pro" w:eastAsia="Times New Roman" w:hAnsi="Source Sans Pro" w:cs="Times New Roman"/>
          <w:color w:val="111111"/>
          <w:sz w:val="26"/>
          <w:szCs w:val="26"/>
          <w:lang w:eastAsia="en-IN"/>
        </w:rPr>
        <w:t xml:space="preserve"> capital to satisfy its shareholders, creditors, and other providers of capital. A company's investment decisions relating to new projects and operations should always generate returns greater than the cost of capital. If returns on its capital expenditures are below its cost of capital, then the firm is not generating positive earnings for its investors. In this case, the company may need to re-evaluate and re-balance its capital structure.</w:t>
      </w:r>
    </w:p>
    <w:p w14:paraId="73D373B2"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The formula for the cost of debt financing is:</w:t>
      </w:r>
    </w:p>
    <w:p w14:paraId="120A64CF"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K</w:t>
      </w:r>
      <w:r w:rsidRPr="00EA11D4">
        <w:rPr>
          <w:rFonts w:ascii="Source Sans Pro" w:eastAsia="Times New Roman" w:hAnsi="Source Sans Pro" w:cs="Times New Roman"/>
          <w:color w:val="111111"/>
          <w:sz w:val="26"/>
          <w:szCs w:val="26"/>
          <w:vertAlign w:val="subscript"/>
          <w:lang w:eastAsia="en-IN"/>
        </w:rPr>
        <w:t>D</w:t>
      </w:r>
      <w:r w:rsidRPr="00EA11D4">
        <w:rPr>
          <w:rFonts w:ascii="Source Sans Pro" w:eastAsia="Times New Roman" w:hAnsi="Source Sans Pro" w:cs="Times New Roman"/>
          <w:color w:val="111111"/>
          <w:sz w:val="26"/>
          <w:szCs w:val="26"/>
          <w:lang w:eastAsia="en-IN"/>
        </w:rPr>
        <w:t> = Interest Expense x (1 - Tax Rate)</w:t>
      </w:r>
    </w:p>
    <w:p w14:paraId="33CA1777"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where K</w:t>
      </w:r>
      <w:r w:rsidRPr="00EA11D4">
        <w:rPr>
          <w:rFonts w:ascii="Source Sans Pro" w:eastAsia="Times New Roman" w:hAnsi="Source Sans Pro" w:cs="Times New Roman"/>
          <w:color w:val="111111"/>
          <w:sz w:val="26"/>
          <w:szCs w:val="26"/>
          <w:vertAlign w:val="subscript"/>
          <w:lang w:eastAsia="en-IN"/>
        </w:rPr>
        <w:t>D</w:t>
      </w:r>
      <w:r w:rsidRPr="00EA11D4">
        <w:rPr>
          <w:rFonts w:ascii="Source Sans Pro" w:eastAsia="Times New Roman" w:hAnsi="Source Sans Pro" w:cs="Times New Roman"/>
          <w:color w:val="111111"/>
          <w:sz w:val="26"/>
          <w:szCs w:val="26"/>
          <w:lang w:eastAsia="en-IN"/>
        </w:rPr>
        <w:t> = cost of debt</w:t>
      </w:r>
    </w:p>
    <w:p w14:paraId="6AF307E5"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Since the interest on debt is </w:t>
      </w:r>
      <w:hyperlink r:id="rId15" w:history="1">
        <w:r w:rsidRPr="00EA11D4">
          <w:rPr>
            <w:rFonts w:ascii="Source Sans Pro" w:eastAsia="Times New Roman" w:hAnsi="Source Sans Pro" w:cs="Times New Roman"/>
            <w:color w:val="005B9D"/>
            <w:sz w:val="26"/>
            <w:szCs w:val="26"/>
            <w:lang w:eastAsia="en-IN"/>
          </w:rPr>
          <w:t>tax deductible</w:t>
        </w:r>
      </w:hyperlink>
      <w:r w:rsidRPr="00EA11D4">
        <w:rPr>
          <w:rFonts w:ascii="Source Sans Pro" w:eastAsia="Times New Roman" w:hAnsi="Source Sans Pro" w:cs="Times New Roman"/>
          <w:color w:val="111111"/>
          <w:sz w:val="26"/>
          <w:szCs w:val="26"/>
          <w:lang w:eastAsia="en-IN"/>
        </w:rPr>
        <w:t> in most cases, the interest expense is calculated on an after-tax basis to make it more comparable to the cost of equity as earnings on stocks are taxed.</w:t>
      </w:r>
    </w:p>
    <w:p w14:paraId="0882C9F7" w14:textId="77777777" w:rsidR="00EA11D4" w:rsidRPr="00EA11D4" w:rsidRDefault="00EA11D4" w:rsidP="00EA11D4">
      <w:pPr>
        <w:spacing w:before="24" w:after="0" w:line="360" w:lineRule="atLeast"/>
        <w:outlineLvl w:val="1"/>
        <w:rPr>
          <w:rFonts w:ascii="Source Sans Pro" w:eastAsia="Times New Roman" w:hAnsi="Source Sans Pro" w:cs="Times New Roman"/>
          <w:b/>
          <w:bCs/>
          <w:color w:val="362F2D"/>
          <w:sz w:val="35"/>
          <w:szCs w:val="35"/>
          <w:lang w:eastAsia="en-IN"/>
        </w:rPr>
      </w:pPr>
      <w:r w:rsidRPr="00EA11D4">
        <w:rPr>
          <w:rFonts w:ascii="Source Sans Pro" w:eastAsia="Times New Roman" w:hAnsi="Source Sans Pro" w:cs="Times New Roman"/>
          <w:b/>
          <w:bCs/>
          <w:color w:val="362F2D"/>
          <w:sz w:val="35"/>
          <w:szCs w:val="35"/>
          <w:lang w:eastAsia="en-IN"/>
        </w:rPr>
        <w:t>Measuring Debt Financing</w:t>
      </w:r>
    </w:p>
    <w:p w14:paraId="1C8AC041"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One metric analysts use to measure and compare how much of a company's capital is being financed with debt financing is the </w:t>
      </w:r>
      <w:hyperlink r:id="rId16" w:history="1">
        <w:r w:rsidRPr="00EA11D4">
          <w:rPr>
            <w:rFonts w:ascii="Source Sans Pro" w:eastAsia="Times New Roman" w:hAnsi="Source Sans Pro" w:cs="Times New Roman"/>
            <w:color w:val="005B9D"/>
            <w:sz w:val="26"/>
            <w:szCs w:val="26"/>
            <w:lang w:eastAsia="en-IN"/>
          </w:rPr>
          <w:t>debt-to-equity ratio</w:t>
        </w:r>
      </w:hyperlink>
      <w:r w:rsidRPr="00EA11D4">
        <w:rPr>
          <w:rFonts w:ascii="Source Sans Pro" w:eastAsia="Times New Roman" w:hAnsi="Source Sans Pro" w:cs="Times New Roman"/>
          <w:color w:val="111111"/>
          <w:sz w:val="26"/>
          <w:szCs w:val="26"/>
          <w:lang w:eastAsia="en-IN"/>
        </w:rPr>
        <w:t>, or D/E ratio. For example, if total debt is $2 billion and total stockholders' equity is $10 billion, the D/E ratio is $2 billion / $10 billion = 1/5, or 20%. This means for every $1 of debt financing, there is $5 of equity. In general, a low D/E ratio is preferable to a high one, though certain industries have a higher tolerance for debt than others. Both debt and equity can be found on the balance sheet statement.</w:t>
      </w:r>
    </w:p>
    <w:p w14:paraId="11FE47F2" w14:textId="77777777" w:rsidR="00EA11D4" w:rsidRPr="00EA11D4" w:rsidRDefault="00EA11D4" w:rsidP="00EA11D4">
      <w:pPr>
        <w:spacing w:before="24" w:after="0" w:line="360" w:lineRule="atLeast"/>
        <w:outlineLvl w:val="1"/>
        <w:rPr>
          <w:rFonts w:ascii="Source Sans Pro" w:eastAsia="Times New Roman" w:hAnsi="Source Sans Pro" w:cs="Times New Roman"/>
          <w:b/>
          <w:bCs/>
          <w:color w:val="362F2D"/>
          <w:sz w:val="35"/>
          <w:szCs w:val="35"/>
          <w:lang w:eastAsia="en-IN"/>
        </w:rPr>
      </w:pPr>
      <w:r w:rsidRPr="00EA11D4">
        <w:rPr>
          <w:rFonts w:ascii="Source Sans Pro" w:eastAsia="Times New Roman" w:hAnsi="Source Sans Pro" w:cs="Times New Roman"/>
          <w:b/>
          <w:bCs/>
          <w:color w:val="362F2D"/>
          <w:sz w:val="35"/>
          <w:szCs w:val="35"/>
          <w:lang w:eastAsia="en-IN"/>
        </w:rPr>
        <w:t>Interest Rates on Debt Financing</w:t>
      </w:r>
    </w:p>
    <w:p w14:paraId="631AC995"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 xml:space="preserve">Some investors in debt are only interested in principal protection, while others want a return in the form of interest. The rate of interest is determined by market rates and the creditworthiness of the borrower. Higher rates of interest imply a </w:t>
      </w:r>
      <w:r w:rsidRPr="00EA11D4">
        <w:rPr>
          <w:rFonts w:ascii="Source Sans Pro" w:eastAsia="Times New Roman" w:hAnsi="Source Sans Pro" w:cs="Times New Roman"/>
          <w:color w:val="111111"/>
          <w:sz w:val="26"/>
          <w:szCs w:val="26"/>
          <w:lang w:eastAsia="en-IN"/>
        </w:rPr>
        <w:lastRenderedPageBreak/>
        <w:t>greater chance of default and, therefore, a higher level of risk. Higher interest rates help to compensate the borrower for the increased risk. In addition to paying interest, debt financing often requires the borrower to adhere to certain rules regarding financial performance. These rules are referred to as </w:t>
      </w:r>
      <w:hyperlink r:id="rId17" w:history="1">
        <w:r w:rsidRPr="00EA11D4">
          <w:rPr>
            <w:rFonts w:ascii="Source Sans Pro" w:eastAsia="Times New Roman" w:hAnsi="Source Sans Pro" w:cs="Times New Roman"/>
            <w:color w:val="005B9D"/>
            <w:sz w:val="26"/>
            <w:szCs w:val="26"/>
            <w:lang w:eastAsia="en-IN"/>
          </w:rPr>
          <w:t>covenants</w:t>
        </w:r>
      </w:hyperlink>
      <w:r w:rsidRPr="00EA11D4">
        <w:rPr>
          <w:rFonts w:ascii="Source Sans Pro" w:eastAsia="Times New Roman" w:hAnsi="Source Sans Pro" w:cs="Times New Roman"/>
          <w:color w:val="111111"/>
          <w:sz w:val="26"/>
          <w:szCs w:val="26"/>
          <w:lang w:eastAsia="en-IN"/>
        </w:rPr>
        <w:t>.</w:t>
      </w:r>
    </w:p>
    <w:p w14:paraId="15B43B96" w14:textId="77777777" w:rsidR="00EA11D4" w:rsidRPr="00EA11D4" w:rsidRDefault="00EA11D4" w:rsidP="00EA11D4">
      <w:pPr>
        <w:spacing w:after="100" w:afterAutospacing="1" w:line="360" w:lineRule="atLeast"/>
        <w:rPr>
          <w:rFonts w:ascii="Source Sans Pro" w:eastAsia="Times New Roman" w:hAnsi="Source Sans Pro" w:cs="Times New Roman"/>
          <w:color w:val="111111"/>
          <w:sz w:val="26"/>
          <w:szCs w:val="26"/>
          <w:lang w:eastAsia="en-IN"/>
        </w:rPr>
      </w:pPr>
      <w:r w:rsidRPr="00EA11D4">
        <w:rPr>
          <w:rFonts w:ascii="Source Sans Pro" w:eastAsia="Times New Roman" w:hAnsi="Source Sans Pro" w:cs="Times New Roman"/>
          <w:color w:val="111111"/>
          <w:sz w:val="26"/>
          <w:szCs w:val="26"/>
          <w:lang w:eastAsia="en-IN"/>
        </w:rPr>
        <w:t>Debt financing can be difficult to obtain, but for many companies, it provides funding at lower rates than equity financing, especially in periods of historically low interest rates. Another perk to debt financing is that the interest on debt is </w:t>
      </w:r>
      <w:hyperlink r:id="rId18" w:history="1">
        <w:r w:rsidRPr="00EA11D4">
          <w:rPr>
            <w:rFonts w:ascii="Source Sans Pro" w:eastAsia="Times New Roman" w:hAnsi="Source Sans Pro" w:cs="Times New Roman"/>
            <w:color w:val="005B9D"/>
            <w:sz w:val="26"/>
            <w:szCs w:val="26"/>
            <w:lang w:eastAsia="en-IN"/>
          </w:rPr>
          <w:t>tax deductible</w:t>
        </w:r>
      </w:hyperlink>
      <w:r w:rsidRPr="00EA11D4">
        <w:rPr>
          <w:rFonts w:ascii="Source Sans Pro" w:eastAsia="Times New Roman" w:hAnsi="Source Sans Pro" w:cs="Times New Roman"/>
          <w:color w:val="111111"/>
          <w:sz w:val="26"/>
          <w:szCs w:val="26"/>
          <w:lang w:eastAsia="en-IN"/>
        </w:rPr>
        <w:t>. Still, adding too much debt can increase the cost of capital, which reduces the </w:t>
      </w:r>
      <w:hyperlink r:id="rId19" w:history="1">
        <w:r w:rsidRPr="00EA11D4">
          <w:rPr>
            <w:rFonts w:ascii="Source Sans Pro" w:eastAsia="Times New Roman" w:hAnsi="Source Sans Pro" w:cs="Times New Roman"/>
            <w:color w:val="005B9D"/>
            <w:sz w:val="26"/>
            <w:szCs w:val="26"/>
            <w:lang w:eastAsia="en-IN"/>
          </w:rPr>
          <w:t>present value</w:t>
        </w:r>
      </w:hyperlink>
      <w:r w:rsidRPr="00EA11D4">
        <w:rPr>
          <w:rFonts w:ascii="Source Sans Pro" w:eastAsia="Times New Roman" w:hAnsi="Source Sans Pro" w:cs="Times New Roman"/>
          <w:color w:val="111111"/>
          <w:sz w:val="26"/>
          <w:szCs w:val="26"/>
          <w:lang w:eastAsia="en-IN"/>
        </w:rPr>
        <w:t> of the company.</w:t>
      </w:r>
    </w:p>
    <w:p w14:paraId="37104590" w14:textId="77777777" w:rsidR="00C37E14" w:rsidRDefault="00C37E14"/>
    <w:sectPr w:rsidR="00C37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A256F"/>
    <w:multiLevelType w:val="multilevel"/>
    <w:tmpl w:val="A8EE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D4"/>
    <w:rsid w:val="00336E33"/>
    <w:rsid w:val="00C37E14"/>
    <w:rsid w:val="00EA1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F962"/>
  <w15:chartTrackingRefBased/>
  <w15:docId w15:val="{D5E41B32-4B2B-4BC4-A62E-2D583352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1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11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11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11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11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11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11D4"/>
    <w:rPr>
      <w:color w:val="0000FF"/>
      <w:u w:val="single"/>
    </w:rPr>
  </w:style>
  <w:style w:type="paragraph" w:customStyle="1" w:styleId="item">
    <w:name w:val="item"/>
    <w:basedOn w:val="Normal"/>
    <w:rsid w:val="00EA11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04410">
      <w:bodyDiv w:val="1"/>
      <w:marLeft w:val="0"/>
      <w:marRight w:val="0"/>
      <w:marTop w:val="0"/>
      <w:marBottom w:val="0"/>
      <w:divBdr>
        <w:top w:val="none" w:sz="0" w:space="0" w:color="auto"/>
        <w:left w:val="none" w:sz="0" w:space="0" w:color="auto"/>
        <w:bottom w:val="none" w:sz="0" w:space="0" w:color="auto"/>
        <w:right w:val="none" w:sz="0" w:space="0" w:color="auto"/>
      </w:divBdr>
      <w:divsChild>
        <w:div w:id="1911229834">
          <w:marLeft w:val="0"/>
          <w:marRight w:val="0"/>
          <w:marTop w:val="0"/>
          <w:marBottom w:val="0"/>
          <w:divBdr>
            <w:top w:val="none" w:sz="0" w:space="0" w:color="auto"/>
            <w:left w:val="none" w:sz="0" w:space="0" w:color="auto"/>
            <w:bottom w:val="none" w:sz="0" w:space="0" w:color="auto"/>
            <w:right w:val="none" w:sz="0" w:space="0" w:color="auto"/>
          </w:divBdr>
        </w:div>
        <w:div w:id="281350777">
          <w:marLeft w:val="0"/>
          <w:marRight w:val="0"/>
          <w:marTop w:val="0"/>
          <w:marBottom w:val="0"/>
          <w:divBdr>
            <w:top w:val="none" w:sz="0" w:space="0" w:color="auto"/>
            <w:left w:val="none" w:sz="0" w:space="0" w:color="auto"/>
            <w:bottom w:val="none" w:sz="0" w:space="0" w:color="auto"/>
            <w:right w:val="none" w:sz="0" w:space="0" w:color="auto"/>
          </w:divBdr>
          <w:divsChild>
            <w:div w:id="1500928373">
              <w:marLeft w:val="0"/>
              <w:marRight w:val="6000"/>
              <w:marTop w:val="0"/>
              <w:marBottom w:val="0"/>
              <w:divBdr>
                <w:top w:val="none" w:sz="0" w:space="0" w:color="auto"/>
                <w:left w:val="none" w:sz="0" w:space="0" w:color="auto"/>
                <w:bottom w:val="none" w:sz="0" w:space="0" w:color="auto"/>
                <w:right w:val="none" w:sz="0" w:space="0" w:color="auto"/>
              </w:divBdr>
              <w:divsChild>
                <w:div w:id="1908876730">
                  <w:marLeft w:val="0"/>
                  <w:marRight w:val="0"/>
                  <w:marTop w:val="0"/>
                  <w:marBottom w:val="0"/>
                  <w:divBdr>
                    <w:top w:val="none" w:sz="0" w:space="0" w:color="auto"/>
                    <w:left w:val="none" w:sz="0" w:space="0" w:color="auto"/>
                    <w:bottom w:val="none" w:sz="0" w:space="0" w:color="auto"/>
                    <w:right w:val="none" w:sz="0" w:space="0" w:color="auto"/>
                  </w:divBdr>
                  <w:divsChild>
                    <w:div w:id="1940942278">
                      <w:marLeft w:val="0"/>
                      <w:marRight w:val="0"/>
                      <w:marTop w:val="0"/>
                      <w:marBottom w:val="0"/>
                      <w:divBdr>
                        <w:top w:val="none" w:sz="0" w:space="0" w:color="auto"/>
                        <w:left w:val="none" w:sz="0" w:space="0" w:color="auto"/>
                        <w:bottom w:val="none" w:sz="0" w:space="0" w:color="auto"/>
                        <w:right w:val="none" w:sz="0" w:space="0" w:color="auto"/>
                      </w:divBdr>
                      <w:divsChild>
                        <w:div w:id="291325146">
                          <w:marLeft w:val="0"/>
                          <w:marRight w:val="0"/>
                          <w:marTop w:val="0"/>
                          <w:marBottom w:val="0"/>
                          <w:divBdr>
                            <w:top w:val="none" w:sz="0" w:space="0" w:color="auto"/>
                            <w:left w:val="none" w:sz="0" w:space="0" w:color="auto"/>
                            <w:bottom w:val="none" w:sz="0" w:space="0" w:color="auto"/>
                            <w:right w:val="none" w:sz="0" w:space="0" w:color="auto"/>
                          </w:divBdr>
                          <w:divsChild>
                            <w:div w:id="747732214">
                              <w:marLeft w:val="0"/>
                              <w:marRight w:val="0"/>
                              <w:marTop w:val="0"/>
                              <w:marBottom w:val="975"/>
                              <w:divBdr>
                                <w:top w:val="none" w:sz="0" w:space="0" w:color="auto"/>
                                <w:left w:val="none" w:sz="0" w:space="0" w:color="auto"/>
                                <w:bottom w:val="none" w:sz="0" w:space="0" w:color="auto"/>
                                <w:right w:val="none" w:sz="0" w:space="0" w:color="auto"/>
                              </w:divBdr>
                              <w:divsChild>
                                <w:div w:id="1866483334">
                                  <w:marLeft w:val="0"/>
                                  <w:marRight w:val="0"/>
                                  <w:marTop w:val="0"/>
                                  <w:marBottom w:val="0"/>
                                  <w:divBdr>
                                    <w:top w:val="none" w:sz="0" w:space="0" w:color="auto"/>
                                    <w:left w:val="none" w:sz="0" w:space="0" w:color="auto"/>
                                    <w:bottom w:val="none" w:sz="0" w:space="0" w:color="auto"/>
                                    <w:right w:val="none" w:sz="0" w:space="0" w:color="auto"/>
                                  </w:divBdr>
                                  <w:divsChild>
                                    <w:div w:id="594020866">
                                      <w:marLeft w:val="375"/>
                                      <w:marRight w:val="-6285"/>
                                      <w:marTop w:val="0"/>
                                      <w:marBottom w:val="0"/>
                                      <w:divBdr>
                                        <w:top w:val="none" w:sz="0" w:space="0" w:color="auto"/>
                                        <w:left w:val="none" w:sz="0" w:space="0" w:color="auto"/>
                                        <w:bottom w:val="none" w:sz="0" w:space="0" w:color="auto"/>
                                        <w:right w:val="none" w:sz="0" w:space="0" w:color="auto"/>
                                      </w:divBdr>
                                      <w:divsChild>
                                        <w:div w:id="1116411082">
                                          <w:marLeft w:val="0"/>
                                          <w:marRight w:val="0"/>
                                          <w:marTop w:val="75"/>
                                          <w:marBottom w:val="405"/>
                                          <w:divBdr>
                                            <w:top w:val="none" w:sz="0" w:space="0" w:color="auto"/>
                                            <w:left w:val="none" w:sz="0" w:space="0" w:color="auto"/>
                                            <w:bottom w:val="none" w:sz="0" w:space="0" w:color="auto"/>
                                            <w:right w:val="none" w:sz="0" w:space="0" w:color="auto"/>
                                          </w:divBdr>
                                          <w:divsChild>
                                            <w:div w:id="103699313">
                                              <w:marLeft w:val="0"/>
                                              <w:marRight w:val="0"/>
                                              <w:marTop w:val="0"/>
                                              <w:marBottom w:val="0"/>
                                              <w:divBdr>
                                                <w:top w:val="none" w:sz="0" w:space="0" w:color="auto"/>
                                                <w:left w:val="none" w:sz="0" w:space="0" w:color="auto"/>
                                                <w:bottom w:val="none" w:sz="0" w:space="0" w:color="auto"/>
                                                <w:right w:val="none" w:sz="0" w:space="0" w:color="auto"/>
                                              </w:divBdr>
                                              <w:divsChild>
                                                <w:div w:id="119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5647">
                                      <w:marLeft w:val="0"/>
                                      <w:marRight w:val="0"/>
                                      <w:marTop w:val="0"/>
                                      <w:marBottom w:val="0"/>
                                      <w:divBdr>
                                        <w:top w:val="none" w:sz="0" w:space="0" w:color="auto"/>
                                        <w:left w:val="none" w:sz="0" w:space="0" w:color="auto"/>
                                        <w:bottom w:val="none" w:sz="0" w:space="0" w:color="auto"/>
                                        <w:right w:val="none" w:sz="0" w:space="0" w:color="auto"/>
                                      </w:divBdr>
                                      <w:divsChild>
                                        <w:div w:id="55861079">
                                          <w:marLeft w:val="0"/>
                                          <w:marRight w:val="0"/>
                                          <w:marTop w:val="0"/>
                                          <w:marBottom w:val="0"/>
                                          <w:divBdr>
                                            <w:top w:val="none" w:sz="0" w:space="0" w:color="auto"/>
                                            <w:left w:val="none" w:sz="0" w:space="0" w:color="auto"/>
                                            <w:bottom w:val="none" w:sz="0" w:space="0" w:color="auto"/>
                                            <w:right w:val="none" w:sz="0" w:space="0" w:color="auto"/>
                                          </w:divBdr>
                                          <w:divsChild>
                                            <w:div w:id="276987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undeddebt.asp" TargetMode="External"/><Relationship Id="rId13" Type="http://schemas.openxmlformats.org/officeDocument/2006/relationships/hyperlink" Target="https://www.investopedia.com/terms/c/coupon.asp" TargetMode="External"/><Relationship Id="rId18" Type="http://schemas.openxmlformats.org/officeDocument/2006/relationships/hyperlink" Target="https://www.investopedia.com/terms/t/tax-deduction.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terms/c/costofcapital.asp" TargetMode="External"/><Relationship Id="rId12" Type="http://schemas.openxmlformats.org/officeDocument/2006/relationships/hyperlink" Target="https://www.investopedia.com/terms/c/costofdebt.asp" TargetMode="External"/><Relationship Id="rId17" Type="http://schemas.openxmlformats.org/officeDocument/2006/relationships/hyperlink" Target="https://www.investopedia.com/terms/b/bond-covenant.asp" TargetMode="External"/><Relationship Id="rId2" Type="http://schemas.openxmlformats.org/officeDocument/2006/relationships/styles" Target="styles.xml"/><Relationship Id="rId16" Type="http://schemas.openxmlformats.org/officeDocument/2006/relationships/hyperlink" Target="https://www.investopedia.com/terms/d/debtequityratio.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l/longtermdebt-capitalization.asp" TargetMode="External"/><Relationship Id="rId11" Type="http://schemas.openxmlformats.org/officeDocument/2006/relationships/hyperlink" Target="https://www.investopedia.com/terms/c/costofequity.asp" TargetMode="External"/><Relationship Id="rId5" Type="http://schemas.openxmlformats.org/officeDocument/2006/relationships/hyperlink" Target="https://www.investopedia.com/terms/e/equityfinancing.asp" TargetMode="External"/><Relationship Id="rId15" Type="http://schemas.openxmlformats.org/officeDocument/2006/relationships/hyperlink" Target="https://www.investopedia.com/terms/d/deductible.asp" TargetMode="External"/><Relationship Id="rId10" Type="http://schemas.openxmlformats.org/officeDocument/2006/relationships/hyperlink" Target="https://www.investopedia.com/terms/f/fixedincome.asp" TargetMode="External"/><Relationship Id="rId19" Type="http://schemas.openxmlformats.org/officeDocument/2006/relationships/hyperlink" Target="https://www.investopedia.com/terms/p/presentvalue.asp" TargetMode="External"/><Relationship Id="rId4" Type="http://schemas.openxmlformats.org/officeDocument/2006/relationships/webSettings" Target="webSettings.xml"/><Relationship Id="rId9" Type="http://schemas.openxmlformats.org/officeDocument/2006/relationships/hyperlink" Target="https://www.investopedia.com/terms/d/debtservice.asp" TargetMode="External"/><Relationship Id="rId14" Type="http://schemas.openxmlformats.org/officeDocument/2006/relationships/hyperlink" Target="https://www.investopedia.com/terms/c/costofcapit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2018-10-21T11:15:00Z</dcterms:created>
  <dcterms:modified xsi:type="dcterms:W3CDTF">2018-10-21T12:44:00Z</dcterms:modified>
</cp:coreProperties>
</file>