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4F72"/>
        <w:spacing w:before="0" w:after="0"/>
      </w:pPr>
    </w:p>
    <w:p>
      <w:pPr>
        <w:shd w:val="clear" w:color="auto" w:fill="1A4F72"/>
        <w:spacing w:before="1120" w:after="80"/>
        <w:jc w:val="center"/>
      </w:pPr>
      <w:r>
        <w:rPr>
          <w:b/>
          <w:color w:val="C9922A"/>
          <w:sz w:val="60"/>
        </w:rPr>
        <w:t>CHRYSELYS</w:t>
      </w:r>
    </w:p>
    <w:p>
      <w:pPr>
        <w:shd w:val="clear" w:color="auto" w:fill="1A4F72"/>
        <w:spacing w:after="160"/>
        <w:jc w:val="center"/>
      </w:pPr>
      <w:r>
        <w:rPr>
          <w:b/>
          <w:color w:val="FFFFFF"/>
          <w:sz w:val="44"/>
        </w:rPr>
        <w:t>Forecasting Accelerator</w:t>
      </w:r>
    </w:p>
    <w:p>
      <w:pPr>
        <w:shd w:val="clear" w:color="auto" w:fill="1A4F72"/>
        <w:spacing w:after="80"/>
        <w:jc w:val="center"/>
      </w:pPr>
      <w:r>
        <w:rPr>
          <w:i/>
          <w:color w:val="A8C4D4"/>
          <w:sz w:val="30"/>
        </w:rPr>
        <w:t>Sales Playbook</w:t>
      </w:r>
    </w:p>
    <w:p>
      <w:pPr>
        <w:shd w:val="clear" w:color="auto" w:fill="1A4F72"/>
        <w:spacing w:after="1120"/>
        <w:jc w:val="center"/>
      </w:pPr>
      <w:r>
        <w:rPr>
          <w:color w:val="A8C4D4"/>
          <w:sz w:val="20"/>
        </w:rPr>
        <w:t>For Sales &amp; Business Development Use Only</w:t>
      </w:r>
    </w:p>
    <w:p>
      <w:r>
        <w:br w:type="page"/>
      </w:r>
    </w:p>
    <w:p>
      <w:pPr>
        <w:spacing w:before="280" w:after="120"/>
      </w:pPr>
      <w:r>
        <w:rPr>
          <w:b/>
          <w:color w:val="1A4F72"/>
          <w:sz w:val="32"/>
        </w:rPr>
        <w:t>Table of Contents</w:t>
      </w:r>
    </w:p>
    <w:p>
      <w:pPr>
        <w:spacing w:before="80" w:after="80"/>
        <w:pBdr>
          <w:bottom w:val="single" w:sz="4" w:space="1" w:color="C9922A"/>
        </w:pBdr>
      </w:pPr>
    </w:p>
    <w:p>
      <w:pPr>
        <w:spacing w:after="80"/>
      </w:pPr>
      <w:r>
        <w:rPr>
          <w:b/>
          <w:color w:val="C9922A"/>
          <w:sz w:val="22"/>
        </w:rPr>
        <w:t xml:space="preserve">1.  </w:t>
      </w:r>
      <w:r>
        <w:rPr>
          <w:color w:val="1A2C3D"/>
          <w:sz w:val="22"/>
        </w:rPr>
        <w:t>Product Overview</w:t>
      </w:r>
    </w:p>
    <w:p>
      <w:pPr>
        <w:spacing w:after="80"/>
      </w:pPr>
      <w:r>
        <w:rPr>
          <w:b/>
          <w:color w:val="C9922A"/>
          <w:sz w:val="22"/>
        </w:rPr>
        <w:t xml:space="preserve">2.  </w:t>
      </w:r>
      <w:r>
        <w:rPr>
          <w:color w:val="1A2C3D"/>
          <w:sz w:val="22"/>
        </w:rPr>
        <w:t>Target Audience &amp; Ideal Customer Profile</w:t>
      </w:r>
    </w:p>
    <w:p>
      <w:pPr>
        <w:spacing w:after="80"/>
      </w:pPr>
      <w:r>
        <w:rPr>
          <w:b/>
          <w:color w:val="C9922A"/>
          <w:sz w:val="22"/>
        </w:rPr>
        <w:t xml:space="preserve">3.  </w:t>
      </w:r>
      <w:r>
        <w:rPr>
          <w:color w:val="1A2C3D"/>
          <w:sz w:val="22"/>
        </w:rPr>
        <w:t>Feature Deep Dive</w:t>
      </w:r>
    </w:p>
    <w:p>
      <w:pPr>
        <w:spacing w:after="80"/>
      </w:pPr>
      <w:r>
        <w:rPr>
          <w:b/>
          <w:color w:val="C9922A"/>
          <w:sz w:val="22"/>
        </w:rPr>
        <w:t xml:space="preserve">4.  </w:t>
      </w:r>
      <w:r>
        <w:rPr>
          <w:color w:val="1A2C3D"/>
          <w:sz w:val="22"/>
        </w:rPr>
        <w:t>Recommended Demo Flow</w:t>
      </w:r>
    </w:p>
    <w:p>
      <w:pPr>
        <w:spacing w:after="80"/>
      </w:pPr>
      <w:r>
        <w:rPr>
          <w:b/>
          <w:color w:val="C9922A"/>
          <w:sz w:val="22"/>
        </w:rPr>
        <w:t xml:space="preserve">5.  </w:t>
      </w:r>
      <w:r>
        <w:rPr>
          <w:color w:val="1A2C3D"/>
          <w:sz w:val="22"/>
        </w:rPr>
        <w:t>Objection Handling Guide</w:t>
      </w:r>
    </w:p>
    <w:p>
      <w:pPr>
        <w:spacing w:after="80"/>
      </w:pPr>
      <w:r>
        <w:rPr>
          <w:b/>
          <w:color w:val="C9922A"/>
          <w:sz w:val="22"/>
        </w:rPr>
        <w:t xml:space="preserve">6.  </w:t>
      </w:r>
      <w:r>
        <w:rPr>
          <w:color w:val="1A2C3D"/>
          <w:sz w:val="22"/>
        </w:rPr>
        <w:t>Competitive Positioning</w:t>
      </w:r>
    </w:p>
    <w:p>
      <w:pPr>
        <w:spacing w:after="80"/>
      </w:pPr>
      <w:r>
        <w:rPr>
          <w:b/>
          <w:color w:val="C9922A"/>
          <w:sz w:val="22"/>
        </w:rPr>
        <w:t xml:space="preserve">7.  </w:t>
      </w:r>
      <w:r>
        <w:rPr>
          <w:color w:val="1A2C3D"/>
          <w:sz w:val="22"/>
        </w:rPr>
        <w:t>Sample Forecast Output</w:t>
      </w:r>
    </w:p>
    <w:p>
      <w:pPr>
        <w:spacing w:after="80"/>
      </w:pPr>
      <w:r>
        <w:rPr>
          <w:b/>
          <w:color w:val="C9922A"/>
          <w:sz w:val="22"/>
        </w:rPr>
        <w:t xml:space="preserve">8.  </w:t>
      </w:r>
      <w:r>
        <w:rPr>
          <w:color w:val="1A2C3D"/>
          <w:sz w:val="22"/>
        </w:rPr>
        <w:t>Discovery Questions</w:t>
      </w:r>
    </w:p>
    <w:p>
      <w:pPr>
        <w:spacing w:after="80"/>
      </w:pPr>
      <w:r>
        <w:rPr>
          <w:b/>
          <w:color w:val="C9922A"/>
          <w:sz w:val="22"/>
        </w:rPr>
        <w:t xml:space="preserve">9.  </w:t>
      </w:r>
      <w:r>
        <w:rPr>
          <w:color w:val="1A2C3D"/>
          <w:sz w:val="22"/>
        </w:rPr>
        <w:t>Call to Action &amp; Closing Moves</w:t>
      </w:r>
    </w:p>
    <w:p>
      <w:r>
        <w:br w:type="page"/>
      </w:r>
    </w:p>
    <w:p>
      <w:pPr>
        <w:spacing w:before="280" w:after="120"/>
      </w:pPr>
      <w:r>
        <w:rPr>
          <w:b/>
          <w:color w:val="1A4F72"/>
          <w:sz w:val="34"/>
        </w:rPr>
        <w:t>1. Product Overview</w:t>
      </w:r>
    </w:p>
    <w:p>
      <w:pPr>
        <w:spacing w:before="80" w:after="80"/>
        <w:pBdr>
          <w:bottom w:val="single" w:sz="4" w:space="1" w:color="C9922A"/>
        </w:pBdr>
      </w:pPr>
    </w:p>
    <w:p>
      <w:pPr>
        <w:spacing w:after="80"/>
      </w:pPr>
      <w:r>
        <w:rPr>
          <w:color w:val="1A2C3D"/>
          <w:sz w:val="21"/>
        </w:rPr>
        <w:t>Chryselys Forecasting Accelerator is an AI-powered commercial forecasting platform purpose-built for pharmaceutical and biotech teams. It combines a rigorous epidemiology-driven patient funnel model with a conversational AI copilot, enabling commercial, market access, and strategy teams to build credible, data-backed revenue forecasts in a fraction of the time of legacy spreadsheet workflows.</w:t>
      </w:r>
    </w:p>
    <w:p>
      <w:pPr>
        <w:spacing w:before="200" w:after="80"/>
      </w:pPr>
      <w:r>
        <w:rPr>
          <w:b/>
          <w:color w:val="C9922A"/>
          <w:sz w:val="22"/>
        </w:rPr>
        <w:t>ELEVATOR PITCH (30 SECONDS)</w:t>
      </w:r>
    </w:p>
    <w:p>
      <w:pPr>
        <w:spacing w:after="80"/>
      </w:pPr>
      <w:r>
        <w:rPr>
          <w:color w:val="1A2C3D"/>
          <w:sz w:val="21"/>
        </w:rPr>
        <w:t>"Forecasting Accelerator turns weeks of spreadsheet work into minutes. You enter a product, an indication, and a geography and our AI builds a full patient funnel forecast with benchmarked assumptions and evidence-backed rationale, ready for your brand plan or investor deck. No more manual literature hunts. No more broken Excel models. Just clear, defensible forecasts."</w:t>
      </w:r>
    </w:p>
    <w:p>
      <w:pPr>
        <w:spacing w:before="200" w:after="80"/>
      </w:pPr>
      <w:r>
        <w:rPr>
          <w:b/>
          <w:color w:val="C9922A"/>
          <w:sz w:val="22"/>
        </w:rPr>
        <w:t>CORE VALUE PROPOSITION</w:t>
      </w:r>
    </w:p>
    <w:p>
      <w:pPr>
        <w:pStyle w:val="ListBullet"/>
        <w:spacing w:after="60"/>
      </w:pPr>
      <w:r>
        <w:rPr>
          <w:color w:val="1A2C3D"/>
          <w:sz w:val="21"/>
        </w:rPr>
        <w:t>Speed - From blank page to publish-ready forecast in under 30 minutes.</w:t>
      </w:r>
    </w:p>
    <w:p>
      <w:pPr>
        <w:pStyle w:val="ListBullet"/>
        <w:spacing w:after="60"/>
      </w:pPr>
      <w:r>
        <w:rPr>
          <w:color w:val="1A2C3D"/>
          <w:sz w:val="21"/>
        </w:rPr>
        <w:t>Credibility - Every assumption backed by published literature or real-world data sources.</w:t>
      </w:r>
    </w:p>
    <w:p>
      <w:pPr>
        <w:pStyle w:val="ListBullet"/>
        <w:spacing w:after="60"/>
      </w:pPr>
      <w:r>
        <w:rPr>
          <w:color w:val="1A2C3D"/>
          <w:sz w:val="21"/>
        </w:rPr>
        <w:t>Collaboration - Shared AI copilot that any team member can query in plain language.</w:t>
      </w:r>
    </w:p>
    <w:p>
      <w:pPr>
        <w:pStyle w:val="ListBullet"/>
        <w:spacing w:after="60"/>
      </w:pPr>
      <w:r>
        <w:rPr>
          <w:color w:val="1A2C3D"/>
          <w:sz w:val="21"/>
        </w:rPr>
        <w:t>Flexibility - Supports 9 countries, 6 major indication templates, and fully custom funnels.</w:t>
      </w:r>
    </w:p>
    <w:p>
      <w:pPr>
        <w:pStyle w:val="ListBullet"/>
        <w:spacing w:after="60"/>
      </w:pPr>
      <w:r>
        <w:rPr>
          <w:color w:val="1A2C3D"/>
          <w:sz w:val="21"/>
        </w:rPr>
        <w:t>Auditability - Full assumption log with sources for regulatory or investor review.</w:t>
      </w:r>
    </w:p>
    <w:p>
      <w:r>
        <w:br w:type="page"/>
      </w:r>
    </w:p>
    <w:p>
      <w:pPr>
        <w:spacing w:before="280" w:after="120"/>
      </w:pPr>
      <w:r>
        <w:rPr>
          <w:b/>
          <w:color w:val="1A4F72"/>
          <w:sz w:val="34"/>
        </w:rPr>
        <w:t>2. Target Audience &amp; Ideal Customer Profile</w:t>
      </w:r>
    </w:p>
    <w:p>
      <w:pPr>
        <w:spacing w:before="80" w:after="80"/>
        <w:pBdr>
          <w:bottom w:val="single" w:sz="4" w:space="1" w:color="C9922A"/>
        </w:pBdr>
      </w:pPr>
    </w:p>
    <w:p>
      <w:pPr>
        <w:spacing w:before="200" w:after="80"/>
      </w:pPr>
      <w:r>
        <w:rPr>
          <w:b/>
          <w:color w:val="C9922A"/>
          <w:sz w:val="22"/>
        </w:rPr>
        <w:t>PRIMARY BUYERS</w:t>
      </w:r>
    </w:p>
    <w:tbl>
      <w:tblPr>
        <w:tblStyle w:val="TableGrid"/>
        <w:tblW w:type="auto" w:w="0"/>
        <w:jc w:val="center"/>
        <w:tblLook w:firstColumn="1" w:firstRow="1" w:lastColumn="0" w:lastRow="0" w:noHBand="0" w:noVBand="1" w:val="04A0"/>
      </w:tblPr>
      <w:tblGrid>
        <w:gridCol w:w="3024"/>
        <w:gridCol w:w="3024"/>
        <w:gridCol w:w="3024"/>
      </w:tblGrid>
      <w:tr>
        <w:tc>
          <w:tcPr>
            <w:tcW w:type="dxa" w:w="2592"/>
            <w:vAlign w:val="center"/>
            <w:shd w:val="clear" w:color="auto" w:fill="1A4F72"/>
          </w:tcPr>
          <w:p>
            <w:pPr>
              <w:spacing w:before="60" w:after="60"/>
            </w:pPr>
            <w:r>
              <w:rPr>
                <w:b/>
                <w:color w:val="FFFFFF"/>
                <w:sz w:val="19"/>
              </w:rPr>
              <w:t>Persona</w:t>
            </w:r>
          </w:p>
        </w:tc>
        <w:tc>
          <w:tcPr>
            <w:tcW w:type="dxa" w:w="2880"/>
            <w:vAlign w:val="center"/>
            <w:shd w:val="clear" w:color="auto" w:fill="1A4F72"/>
          </w:tcPr>
          <w:p>
            <w:pPr>
              <w:spacing w:before="60" w:after="60"/>
            </w:pPr>
            <w:r>
              <w:rPr>
                <w:b/>
                <w:color w:val="FFFFFF"/>
                <w:sz w:val="19"/>
              </w:rPr>
              <w:t>Title Examples</w:t>
            </w:r>
          </w:p>
        </w:tc>
        <w:tc>
          <w:tcPr>
            <w:tcW w:type="dxa" w:w="3744"/>
            <w:vAlign w:val="center"/>
            <w:shd w:val="clear" w:color="auto" w:fill="1A4F72"/>
          </w:tcPr>
          <w:p>
            <w:pPr>
              <w:spacing w:before="60" w:after="60"/>
            </w:pPr>
            <w:r>
              <w:rPr>
                <w:b/>
                <w:color w:val="FFFFFF"/>
                <w:sz w:val="19"/>
              </w:rPr>
              <w:t>Key Pain Point</w:t>
            </w:r>
          </w:p>
        </w:tc>
      </w:tr>
      <w:tr>
        <w:tc>
          <w:tcPr>
            <w:tcW w:type="dxa" w:w="2592"/>
            <w:vAlign w:val="center"/>
            <w:shd w:val="clear" w:color="auto" w:fill="FFFFFF"/>
          </w:tcPr>
          <w:p>
            <w:pPr>
              <w:spacing w:before="60" w:after="60"/>
            </w:pPr>
            <w:r>
              <w:rPr>
                <w:color w:val="1A2C3D"/>
                <w:sz w:val="19"/>
              </w:rPr>
              <w:t>Commercial Strategy</w:t>
            </w:r>
          </w:p>
        </w:tc>
        <w:tc>
          <w:tcPr>
            <w:tcW w:type="dxa" w:w="2880"/>
            <w:vAlign w:val="center"/>
            <w:shd w:val="clear" w:color="auto" w:fill="FFFFFF"/>
          </w:tcPr>
          <w:p>
            <w:pPr>
              <w:spacing w:before="60" w:after="60"/>
            </w:pPr>
            <w:r>
              <w:rPr>
                <w:color w:val="1A2C3D"/>
                <w:sz w:val="19"/>
              </w:rPr>
              <w:t>VP Commercial, Head of Strategy</w:t>
            </w:r>
          </w:p>
        </w:tc>
        <w:tc>
          <w:tcPr>
            <w:tcW w:type="dxa" w:w="3744"/>
            <w:vAlign w:val="center"/>
            <w:shd w:val="clear" w:color="auto" w:fill="FFFFFF"/>
          </w:tcPr>
          <w:p>
            <w:pPr>
              <w:spacing w:before="60" w:after="60"/>
            </w:pPr>
            <w:r>
              <w:rPr>
                <w:color w:val="1A2C3D"/>
                <w:sz w:val="19"/>
              </w:rPr>
              <w:t>Forecast cycle takes 6-8 weeks; assumptions undocumented</w:t>
            </w:r>
          </w:p>
        </w:tc>
      </w:tr>
      <w:tr>
        <w:tc>
          <w:tcPr>
            <w:tcW w:type="dxa" w:w="2592"/>
            <w:vAlign w:val="center"/>
            <w:shd w:val="clear" w:color="auto" w:fill="F5F6F8"/>
          </w:tcPr>
          <w:p>
            <w:pPr>
              <w:spacing w:before="60" w:after="60"/>
            </w:pPr>
            <w:r>
              <w:rPr>
                <w:color w:val="1A2C3D"/>
                <w:sz w:val="19"/>
              </w:rPr>
              <w:t>Market Access</w:t>
            </w:r>
          </w:p>
        </w:tc>
        <w:tc>
          <w:tcPr>
            <w:tcW w:type="dxa" w:w="2880"/>
            <w:vAlign w:val="center"/>
            <w:shd w:val="clear" w:color="auto" w:fill="F5F6F8"/>
          </w:tcPr>
          <w:p>
            <w:pPr>
              <w:spacing w:before="60" w:after="60"/>
            </w:pPr>
            <w:r>
              <w:rPr>
                <w:color w:val="1A2C3D"/>
                <w:sz w:val="19"/>
              </w:rPr>
              <w:t>Director Market Access, HEOR Lead</w:t>
            </w:r>
          </w:p>
        </w:tc>
        <w:tc>
          <w:tcPr>
            <w:tcW w:type="dxa" w:w="3744"/>
            <w:vAlign w:val="center"/>
            <w:shd w:val="clear" w:color="auto" w:fill="F5F6F8"/>
          </w:tcPr>
          <w:p>
            <w:pPr>
              <w:spacing w:before="60" w:after="60"/>
            </w:pPr>
            <w:r>
              <w:rPr>
                <w:color w:val="1A2C3D"/>
                <w:sz w:val="19"/>
              </w:rPr>
              <w:t>Budget impact models are slow to build and update</w:t>
            </w:r>
          </w:p>
        </w:tc>
      </w:tr>
      <w:tr>
        <w:tc>
          <w:tcPr>
            <w:tcW w:type="dxa" w:w="2592"/>
            <w:vAlign w:val="center"/>
            <w:shd w:val="clear" w:color="auto" w:fill="FFFFFF"/>
          </w:tcPr>
          <w:p>
            <w:pPr>
              <w:spacing w:before="60" w:after="60"/>
            </w:pPr>
            <w:r>
              <w:rPr>
                <w:color w:val="1A2C3D"/>
                <w:sz w:val="19"/>
              </w:rPr>
              <w:t>Finance / FP&amp;A</w:t>
            </w:r>
          </w:p>
        </w:tc>
        <w:tc>
          <w:tcPr>
            <w:tcW w:type="dxa" w:w="2880"/>
            <w:vAlign w:val="center"/>
            <w:shd w:val="clear" w:color="auto" w:fill="FFFFFF"/>
          </w:tcPr>
          <w:p>
            <w:pPr>
              <w:spacing w:before="60" w:after="60"/>
            </w:pPr>
            <w:r>
              <w:rPr>
                <w:color w:val="1A2C3D"/>
                <w:sz w:val="19"/>
              </w:rPr>
              <w:t>CFO, Commercial Finance Director</w:t>
            </w:r>
          </w:p>
        </w:tc>
        <w:tc>
          <w:tcPr>
            <w:tcW w:type="dxa" w:w="3744"/>
            <w:vAlign w:val="center"/>
            <w:shd w:val="clear" w:color="auto" w:fill="FFFFFF"/>
          </w:tcPr>
          <w:p>
            <w:pPr>
              <w:spacing w:before="60" w:after="60"/>
            </w:pPr>
            <w:r>
              <w:rPr>
                <w:color w:val="1A2C3D"/>
                <w:sz w:val="19"/>
              </w:rPr>
              <w:t>Revenue models lack epidemiology grounding; hard to defend</w:t>
            </w:r>
          </w:p>
        </w:tc>
      </w:tr>
      <w:tr>
        <w:tc>
          <w:tcPr>
            <w:tcW w:type="dxa" w:w="2592"/>
            <w:vAlign w:val="center"/>
            <w:shd w:val="clear" w:color="auto" w:fill="F5F6F8"/>
          </w:tcPr>
          <w:p>
            <w:pPr>
              <w:spacing w:before="60" w:after="60"/>
            </w:pPr>
            <w:r>
              <w:rPr>
                <w:color w:val="1A2C3D"/>
                <w:sz w:val="19"/>
              </w:rPr>
              <w:t>Medical Affairs</w:t>
            </w:r>
          </w:p>
        </w:tc>
        <w:tc>
          <w:tcPr>
            <w:tcW w:type="dxa" w:w="2880"/>
            <w:vAlign w:val="center"/>
            <w:shd w:val="clear" w:color="auto" w:fill="F5F6F8"/>
          </w:tcPr>
          <w:p>
            <w:pPr>
              <w:spacing w:before="60" w:after="60"/>
            </w:pPr>
            <w:r>
              <w:rPr>
                <w:color w:val="1A2C3D"/>
                <w:sz w:val="19"/>
              </w:rPr>
              <w:t>Head of Medical Affairs, MSL Lead</w:t>
            </w:r>
          </w:p>
        </w:tc>
        <w:tc>
          <w:tcPr>
            <w:tcW w:type="dxa" w:w="3744"/>
            <w:vAlign w:val="center"/>
            <w:shd w:val="clear" w:color="auto" w:fill="F5F6F8"/>
          </w:tcPr>
          <w:p>
            <w:pPr>
              <w:spacing w:before="60" w:after="60"/>
            </w:pPr>
            <w:r>
              <w:rPr>
                <w:color w:val="1A2C3D"/>
                <w:sz w:val="19"/>
              </w:rPr>
              <w:t>No structured link between clinical evidence and market estimates</w:t>
            </w:r>
          </w:p>
        </w:tc>
      </w:tr>
      <w:tr>
        <w:tc>
          <w:tcPr>
            <w:tcW w:type="dxa" w:w="2592"/>
            <w:vAlign w:val="center"/>
            <w:shd w:val="clear" w:color="auto" w:fill="FFFFFF"/>
          </w:tcPr>
          <w:p>
            <w:pPr>
              <w:spacing w:before="60" w:after="60"/>
            </w:pPr>
            <w:r>
              <w:rPr>
                <w:color w:val="1A2C3D"/>
                <w:sz w:val="19"/>
              </w:rPr>
              <w:t>Consulting / Agencies</w:t>
            </w:r>
          </w:p>
        </w:tc>
        <w:tc>
          <w:tcPr>
            <w:tcW w:type="dxa" w:w="2880"/>
            <w:vAlign w:val="center"/>
            <w:shd w:val="clear" w:color="auto" w:fill="FFFFFF"/>
          </w:tcPr>
          <w:p>
            <w:pPr>
              <w:spacing w:before="60" w:after="60"/>
            </w:pPr>
            <w:r>
              <w:rPr>
                <w:color w:val="1A2C3D"/>
                <w:sz w:val="19"/>
              </w:rPr>
              <w:t>Engagement Manager, Principal</w:t>
            </w:r>
          </w:p>
        </w:tc>
        <w:tc>
          <w:tcPr>
            <w:tcW w:type="dxa" w:w="3744"/>
            <w:vAlign w:val="center"/>
            <w:shd w:val="clear" w:color="auto" w:fill="FFFFFF"/>
          </w:tcPr>
          <w:p>
            <w:pPr>
              <w:spacing w:before="60" w:after="60"/>
            </w:pPr>
            <w:r>
              <w:rPr>
                <w:color w:val="1A2C3D"/>
                <w:sz w:val="19"/>
              </w:rPr>
              <w:t>Client deliverables require defensible, transparent assumptions</w:t>
            </w:r>
          </w:p>
        </w:tc>
      </w:tr>
    </w:tbl>
    <w:p>
      <w:pPr>
        <w:spacing w:after="80"/>
      </w:pPr>
      <w:r>
        <w:rPr>
          <w:color w:val="1A2C3D"/>
          <w:sz w:val="21"/>
        </w:rPr>
      </w:r>
    </w:p>
    <w:p>
      <w:pPr>
        <w:spacing w:before="200" w:after="80"/>
      </w:pPr>
      <w:r>
        <w:rPr>
          <w:b/>
          <w:color w:val="C9922A"/>
          <w:sz w:val="22"/>
        </w:rPr>
        <w:t>TARGET COMPANY PROFILE</w:t>
      </w:r>
    </w:p>
    <w:p>
      <w:pPr>
        <w:pStyle w:val="ListBullet"/>
        <w:spacing w:after="60"/>
      </w:pPr>
      <w:r>
        <w:rPr>
          <w:color w:val="1A2C3D"/>
          <w:sz w:val="21"/>
        </w:rPr>
        <w:t>Pharma / biotech companies with products in late-stage development, launch, or post-launch phases</w:t>
      </w:r>
    </w:p>
    <w:p>
      <w:pPr>
        <w:pStyle w:val="ListBullet"/>
        <w:spacing w:after="60"/>
      </w:pPr>
      <w:r>
        <w:rPr>
          <w:color w:val="1A2C3D"/>
          <w:sz w:val="21"/>
        </w:rPr>
        <w:t>Companies operating in oncology, immunology, neurology, cardiology, or rare disease</w:t>
      </w:r>
    </w:p>
    <w:p>
      <w:pPr>
        <w:pStyle w:val="ListBullet"/>
        <w:spacing w:after="60"/>
      </w:pPr>
      <w:r>
        <w:rPr>
          <w:color w:val="1A2C3D"/>
          <w:sz w:val="21"/>
        </w:rPr>
        <w:t>Teams spending &gt;2 weeks per forecast cycle on epidemiology research and model building</w:t>
      </w:r>
    </w:p>
    <w:p>
      <w:pPr>
        <w:pStyle w:val="ListBullet"/>
        <w:spacing w:after="60"/>
      </w:pPr>
      <w:r>
        <w:rPr>
          <w:color w:val="1A2C3D"/>
          <w:sz w:val="21"/>
        </w:rPr>
        <w:t>Organizations preparing investor materials, brand plans, or payer submissions</w:t>
      </w:r>
    </w:p>
    <w:p>
      <w:pPr>
        <w:pStyle w:val="ListBullet"/>
        <w:spacing w:after="60"/>
      </w:pPr>
      <w:r>
        <w:rPr>
          <w:color w:val="1A2C3D"/>
          <w:sz w:val="21"/>
        </w:rPr>
        <w:t>Management consulting firms and market research agencies serving pharma clients</w:t>
      </w:r>
    </w:p>
    <w:p>
      <w:r>
        <w:br w:type="page"/>
      </w:r>
    </w:p>
    <w:p>
      <w:pPr>
        <w:spacing w:before="280" w:after="120"/>
      </w:pPr>
      <w:r>
        <w:rPr>
          <w:b/>
          <w:color w:val="1A4F72"/>
          <w:sz w:val="34"/>
        </w:rPr>
        <w:t>3. Feature Deep Dive</w:t>
      </w:r>
    </w:p>
    <w:p>
      <w:pPr>
        <w:spacing w:before="80" w:after="80"/>
        <w:pBdr>
          <w:bottom w:val="single" w:sz="4" w:space="1" w:color="C9922A"/>
        </w:pBdr>
      </w:pPr>
    </w:p>
    <w:p>
      <w:pPr>
        <w:spacing w:before="160" w:after="40"/>
      </w:pPr>
      <w:r>
        <w:rPr>
          <w:b/>
          <w:color w:val="1A4F72"/>
          <w:sz w:val="22"/>
        </w:rPr>
        <w:t xml:space="preserve">AI Copilot Chat   </w:t>
      </w:r>
      <w:r>
        <w:rPr>
          <w:color w:val="1A2C3D"/>
          <w:sz w:val="21"/>
        </w:rPr>
        <w:t>An embedded AI assistant that answers questions in plain English: parameter explanations, benchmark ranges, scenario interpretation, and methodology questions. It cites published literature and provides rationale behind every number.</w:t>
      </w:r>
    </w:p>
    <w:p>
      <w:pPr>
        <w:spacing w:before="160" w:after="40"/>
      </w:pPr>
      <w:r>
        <w:rPr>
          <w:b/>
          <w:color w:val="1A4F72"/>
          <w:sz w:val="22"/>
        </w:rPr>
        <w:t xml:space="preserve">Patient Funnel Engine   </w:t>
      </w:r>
      <w:r>
        <w:rPr>
          <w:color w:val="1A2C3D"/>
          <w:sz w:val="21"/>
        </w:rPr>
        <w:t>Builds bottom-up revenue forecasts across the full patient journey: Total Population &gt; Incidence/Prevalence &gt; Diagnosis Rate &gt; Treatment Rate &gt; Eligibility Criteria &gt; Class Share &gt; Product Share &gt; Annual Cost &gt; Net Sales. Fully configurable funnel depth.</w:t>
      </w:r>
    </w:p>
    <w:p>
      <w:pPr>
        <w:spacing w:before="160" w:after="40"/>
      </w:pPr>
      <w:r>
        <w:rPr>
          <w:b/>
          <w:color w:val="1A4F72"/>
          <w:sz w:val="22"/>
        </w:rPr>
        <w:t xml:space="preserve">Multi-Country &amp; Multi-Indication Support   </w:t>
      </w:r>
      <w:r>
        <w:rPr>
          <w:color w:val="1A2C3D"/>
          <w:sz w:val="21"/>
        </w:rPr>
        <w:t>Covers United States, Germany, United Kingdom, France, Japan, China, Canada, Italy, and Spain with pre-populated population and rebate benchmarks. Indication templates include Oncology, Rheumatoid Arthritis, Multiple Sclerosis, Type 2 Diabetes, Alzheimer Disease, and Heart Failure.</w:t>
      </w:r>
    </w:p>
    <w:p>
      <w:pPr>
        <w:spacing w:before="160" w:after="40"/>
      </w:pPr>
      <w:r>
        <w:rPr>
          <w:b/>
          <w:color w:val="1A4F72"/>
          <w:sz w:val="22"/>
        </w:rPr>
        <w:t xml:space="preserve">S-Curve Adoption Modeling   </w:t>
      </w:r>
      <w:r>
        <w:rPr>
          <w:color w:val="1A2C3D"/>
          <w:sz w:val="21"/>
        </w:rPr>
        <w:t>Market share ramps modeled via configurable S-curves: set starting share, time to peak, and peak year. Automatically calculates year-by-year patient and revenue trajectories.</w:t>
      </w:r>
    </w:p>
    <w:p>
      <w:pPr>
        <w:spacing w:before="160" w:after="40"/>
      </w:pPr>
      <w:r>
        <w:rPr>
          <w:b/>
          <w:color w:val="1A4F72"/>
          <w:sz w:val="22"/>
        </w:rPr>
        <w:t xml:space="preserve">Scenario Comparison   </w:t>
      </w:r>
      <w:r>
        <w:rPr>
          <w:color w:val="1A2C3D"/>
          <w:sz w:val="21"/>
        </w:rPr>
        <w:t>Run and compare multiple named scenarios side-by-side (base, bull, bear). Instantly see how assumption changes impact peak year revenue.</w:t>
      </w:r>
    </w:p>
    <w:p>
      <w:pPr>
        <w:spacing w:before="160" w:after="40"/>
      </w:pPr>
      <w:r>
        <w:rPr>
          <w:b/>
          <w:color w:val="1A4F72"/>
          <w:sz w:val="22"/>
        </w:rPr>
        <w:t xml:space="preserve">Evidence-Backed Assumptions   </w:t>
      </w:r>
      <w:r>
        <w:rPr>
          <w:color w:val="1A2C3D"/>
          <w:sz w:val="21"/>
        </w:rPr>
        <w:t>Every default assumption ships with a literature rationale and source URL. Teams can audit, override, and document their own rationale for regulatory or investor submissions.</w:t>
      </w:r>
    </w:p>
    <w:p>
      <w:pPr>
        <w:spacing w:before="160" w:after="40"/>
      </w:pPr>
      <w:r>
        <w:rPr>
          <w:b/>
          <w:color w:val="1A4F72"/>
          <w:sz w:val="22"/>
        </w:rPr>
        <w:t xml:space="preserve">Interactive Visualizations   </w:t>
      </w:r>
      <w:r>
        <w:rPr>
          <w:color w:val="1A2C3D"/>
          <w:sz w:val="21"/>
        </w:rPr>
        <w:t>Revenue waterfall, patient funnel chart, multi-year revenue trajectory, and market share ramp-up, all built with interactive Plotly charts exportable as images.</w:t>
      </w:r>
    </w:p>
    <w:p>
      <w:pPr>
        <w:spacing w:before="160" w:after="40"/>
      </w:pPr>
      <w:r>
        <w:rPr>
          <w:b/>
          <w:color w:val="1A4F72"/>
          <w:sz w:val="22"/>
        </w:rPr>
        <w:t xml:space="preserve">Export &amp; Integration   </w:t>
      </w:r>
      <w:r>
        <w:rPr>
          <w:color w:val="1A2C3D"/>
          <w:sz w:val="21"/>
        </w:rPr>
        <w:t>Download forecast results as CSV or Excel. Structured JSON output enables integration with downstream BI tools and brand planning systems.</w:t>
      </w:r>
    </w:p>
    <w:p>
      <w:r>
        <w:br w:type="page"/>
      </w:r>
    </w:p>
    <w:p>
      <w:pPr>
        <w:spacing w:before="280" w:after="120"/>
      </w:pPr>
      <w:r>
        <w:rPr>
          <w:b/>
          <w:color w:val="1A4F72"/>
          <w:sz w:val="34"/>
        </w:rPr>
        <w:t>4. Recommended Demo Flow</w:t>
      </w:r>
    </w:p>
    <w:p>
      <w:pPr>
        <w:spacing w:before="80" w:after="80"/>
        <w:pBdr>
          <w:bottom w:val="single" w:sz="4" w:space="1" w:color="C9922A"/>
        </w:pBdr>
      </w:pPr>
    </w:p>
    <w:p>
      <w:pPr>
        <w:spacing w:after="80"/>
      </w:pPr>
      <w:r>
        <w:rPr>
          <w:color w:val="1A2C3D"/>
          <w:sz w:val="21"/>
        </w:rPr>
        <w:t>Use the following step-by-step script during live demos or POC sessions. Tailor the indication and product to the prospect's therapeutic area whenever possible.</w:t>
      </w:r>
    </w:p>
    <w:p>
      <w:pPr>
        <w:spacing w:before="200" w:after="40"/>
      </w:pPr>
      <w:r>
        <w:rPr>
          <w:b/>
          <w:color w:val="C9922A"/>
          <w:sz w:val="22"/>
        </w:rPr>
        <w:t>Step 1 - Product Setup (2 min)</w:t>
      </w:r>
    </w:p>
    <w:p>
      <w:pPr>
        <w:spacing w:after="80"/>
      </w:pPr>
      <w:r>
        <w:rPr>
          <w:color w:val="1A2C3D"/>
          <w:sz w:val="21"/>
        </w:rPr>
        <w:t>Navigate to the Product Info step. Enter: Product = Keytruda, Country = United States, Indication = NSCLC, Launch Year = 2026, Peak Year = 2031. Highlight the dropdown for multi-country selection.</w:t>
      </w:r>
    </w:p>
    <w:p>
      <w:pPr>
        <w:spacing w:before="120" w:after="160"/>
        <w:shd w:val="clear" w:color="auto" w:fill="E8F0F7"/>
      </w:pPr>
      <w:r>
        <w:rPr>
          <w:i/>
          <w:color w:val="2E6A96"/>
          <w:sz w:val="19"/>
        </w:rPr>
        <w:t xml:space="preserve">  [Screenshot placeholder: Product Info screen]  </w:t>
      </w:r>
    </w:p>
    <w:p>
      <w:pPr>
        <w:spacing w:before="200" w:after="40"/>
      </w:pPr>
      <w:r>
        <w:rPr>
          <w:b/>
          <w:color w:val="C9922A"/>
          <w:sz w:val="22"/>
        </w:rPr>
        <w:t>Step 2 - Funnel Flow Definition (2 min)</w:t>
      </w:r>
    </w:p>
    <w:p>
      <w:pPr>
        <w:spacing w:after="80"/>
      </w:pPr>
      <w:r>
        <w:rPr>
          <w:color w:val="1A2C3D"/>
          <w:sz w:val="21"/>
        </w:rPr>
        <w:t>Select the "AI Recommendation" preset or "Oncology" template. Show how the parameter funnel adapts automatically: Population &gt; Incidence &gt; Diagnosis Rate &gt; Eligibility Criteria &gt; Class Share &gt; Product Share.</w:t>
      </w:r>
    </w:p>
    <w:p>
      <w:pPr>
        <w:spacing w:before="120" w:after="160"/>
        <w:shd w:val="clear" w:color="auto" w:fill="E8F0F7"/>
      </w:pPr>
      <w:r>
        <w:rPr>
          <w:i/>
          <w:color w:val="2E6A96"/>
          <w:sz w:val="19"/>
        </w:rPr>
        <w:t xml:space="preserve">  [Screenshot placeholder: Flow Definition screen with parameter cards]  </w:t>
      </w:r>
    </w:p>
    <w:p>
      <w:pPr>
        <w:spacing w:before="200" w:after="40"/>
      </w:pPr>
      <w:r>
        <w:rPr>
          <w:b/>
          <w:color w:val="C9922A"/>
          <w:sz w:val="22"/>
        </w:rPr>
        <w:t>Step 3 - Assumption Auto-Population (3 min)</w:t>
      </w:r>
    </w:p>
    <w:p>
      <w:pPr>
        <w:spacing w:after="80"/>
      </w:pPr>
      <w:r>
        <w:rPr>
          <w:color w:val="1A2C3D"/>
          <w:sz w:val="21"/>
        </w:rPr>
        <w:t>Click "AI Populate" to have the AI fill all parameters with benchmarked values. Walk through the rationale panel: each assumption shows its value, confidence range, and source citation. Edit one assumption manually to show override flexibility.</w:t>
      </w:r>
    </w:p>
    <w:p>
      <w:pPr>
        <w:spacing w:before="120" w:after="160"/>
        <w:shd w:val="clear" w:color="auto" w:fill="E8F0F7"/>
      </w:pPr>
      <w:r>
        <w:rPr>
          <w:i/>
          <w:color w:val="2E6A96"/>
          <w:sz w:val="19"/>
        </w:rPr>
        <w:t xml:space="preserve">  [Screenshot placeholder: Parameter inputs with rationale panel open]  </w:t>
      </w:r>
    </w:p>
    <w:p>
      <w:pPr>
        <w:spacing w:before="200" w:after="40"/>
      </w:pPr>
      <w:r>
        <w:rPr>
          <w:b/>
          <w:color w:val="C9922A"/>
          <w:sz w:val="22"/>
        </w:rPr>
        <w:t>Step 4 - AI Copilot Chat (3 min)</w:t>
      </w:r>
    </w:p>
    <w:p>
      <w:pPr>
        <w:spacing w:after="80"/>
      </w:pPr>
      <w:r>
        <w:rPr>
          <w:color w:val="1A2C3D"/>
          <w:sz w:val="21"/>
        </w:rPr>
        <w:t>Open the right-hand chat panel. Ask: "What is the typical diagnosis rate for NSCLC in the US?" then "How sensitive is my forecast to the product share assumption?" Show that the AI interprets results in context of the current model.</w:t>
      </w:r>
    </w:p>
    <w:p>
      <w:pPr>
        <w:spacing w:before="120" w:after="160"/>
        <w:shd w:val="clear" w:color="auto" w:fill="E8F0F7"/>
      </w:pPr>
      <w:r>
        <w:rPr>
          <w:i/>
          <w:color w:val="2E6A96"/>
          <w:sz w:val="19"/>
        </w:rPr>
        <w:t xml:space="preserve">  [Screenshot placeholder: Chat panel with AI response]  </w:t>
      </w:r>
    </w:p>
    <w:p>
      <w:pPr>
        <w:spacing w:before="200" w:after="40"/>
      </w:pPr>
      <w:r>
        <w:rPr>
          <w:b/>
          <w:color w:val="C9922A"/>
          <w:sz w:val="22"/>
        </w:rPr>
        <w:t>Step 5 - Results &amp; Visualization (3 min)</w:t>
      </w:r>
    </w:p>
    <w:p>
      <w:pPr>
        <w:spacing w:after="80"/>
      </w:pPr>
      <w:r>
        <w:rPr>
          <w:color w:val="1A2C3D"/>
          <w:sz w:val="21"/>
        </w:rPr>
        <w:t>Navigate to the Results step. Walk through: (1) patient funnel waterfall showing how 335M people funnel down to ~2,761 treated patients by 2031, (2) net sales trajectory from $47M in 2026 to $323M in 2031, (3) market share S-curve ramp to 25% peak product share.</w:t>
      </w:r>
    </w:p>
    <w:p>
      <w:pPr>
        <w:spacing w:before="120" w:after="160"/>
        <w:shd w:val="clear" w:color="auto" w:fill="E8F0F7"/>
      </w:pPr>
      <w:r>
        <w:rPr>
          <w:i/>
          <w:color w:val="2E6A96"/>
          <w:sz w:val="19"/>
        </w:rPr>
        <w:t xml:space="preserve">  [Screenshot placeholder: Revenue chart and patient funnel]  </w:t>
      </w:r>
    </w:p>
    <w:p>
      <w:pPr>
        <w:spacing w:before="200" w:after="40"/>
      </w:pPr>
      <w:r>
        <w:rPr>
          <w:b/>
          <w:color w:val="C9922A"/>
          <w:sz w:val="22"/>
        </w:rPr>
        <w:t>Step 6 - Export (1 min)</w:t>
      </w:r>
    </w:p>
    <w:p>
      <w:pPr>
        <w:spacing w:after="80"/>
      </w:pPr>
      <w:r>
        <w:rPr>
          <w:color w:val="1A2C3D"/>
          <w:sz w:val="21"/>
        </w:rPr>
        <w:t>Download CSV / Excel. Mention JSON API output for BI integration. Offer to share the live environment for a hands-on POC.</w:t>
      </w:r>
    </w:p>
    <w:p>
      <w:pPr>
        <w:spacing w:before="120" w:after="160"/>
        <w:shd w:val="clear" w:color="auto" w:fill="E8F0F7"/>
      </w:pPr>
      <w:r>
        <w:rPr>
          <w:i/>
          <w:color w:val="2E6A96"/>
          <w:sz w:val="19"/>
        </w:rPr>
        <w:t xml:space="preserve">  [Screenshot placeholder: Export dialog]  </w:t>
      </w:r>
    </w:p>
    <w:p>
      <w:r>
        <w:br w:type="page"/>
      </w:r>
    </w:p>
    <w:p>
      <w:pPr>
        <w:spacing w:before="280" w:after="120"/>
      </w:pPr>
      <w:r>
        <w:rPr>
          <w:b/>
          <w:color w:val="1A4F72"/>
          <w:sz w:val="34"/>
        </w:rPr>
        <w:t>5. Objection Handling Guide</w:t>
      </w:r>
    </w:p>
    <w:p>
      <w:pPr>
        <w:spacing w:before="80" w:after="80"/>
        <w:pBdr>
          <w:bottom w:val="single" w:sz="4" w:space="1" w:color="C9922A"/>
        </w:pBdr>
      </w:pPr>
    </w:p>
    <w:p>
      <w:pPr>
        <w:spacing w:before="200" w:after="40"/>
      </w:pPr>
      <w:r>
        <w:rPr>
          <w:b/>
          <w:i/>
          <w:color w:val="DC2626"/>
          <w:sz w:val="21"/>
        </w:rPr>
        <w:t>Objection: "We already have an Excel model that works fine."</w:t>
      </w:r>
    </w:p>
    <w:p>
      <w:pPr>
        <w:spacing w:after="80"/>
        <w:shd w:val="clear" w:color="auto" w:fill="F0F7F0"/>
      </w:pPr>
      <w:r>
        <w:rPr>
          <w:color w:val="166334"/>
          <w:sz w:val="21"/>
        </w:rPr>
        <w:t xml:space="preserve">  Response: Most of our customers said the same thing before we showed them a side-by-side. The question isn't whether your model works - it's how long it takes to update, how easy it is for someone else to audit, and whether every assumption has a documented source. Can I show you how Forecasting Accelerator compares on your own product?</w:t>
      </w:r>
    </w:p>
    <w:p>
      <w:pPr>
        <w:spacing w:before="200" w:after="40"/>
      </w:pPr>
      <w:r>
        <w:rPr>
          <w:b/>
          <w:i/>
          <w:color w:val="DC2626"/>
          <w:sz w:val="21"/>
        </w:rPr>
        <w:t>Objection: "Our team isn't technical enough for an AI tool."</w:t>
      </w:r>
    </w:p>
    <w:p>
      <w:pPr>
        <w:spacing w:after="80"/>
        <w:shd w:val="clear" w:color="auto" w:fill="F0F7F0"/>
      </w:pPr>
      <w:r>
        <w:rPr>
          <w:color w:val="166334"/>
          <w:sz w:val="21"/>
        </w:rPr>
        <w:t xml:space="preserve">  Response: The entire interface is conversational - you type questions in plain English and the AI explains every parameter. If your team can fill in a spreadsheet, they can use this. We've trained commercial analysts with zero data science background in under 30 minutes.</w:t>
      </w:r>
    </w:p>
    <w:p>
      <w:pPr>
        <w:spacing w:before="200" w:after="40"/>
      </w:pPr>
      <w:r>
        <w:rPr>
          <w:b/>
          <w:i/>
          <w:color w:val="DC2626"/>
          <w:sz w:val="21"/>
        </w:rPr>
        <w:t>Objection: "We're concerned about data security and IP."</w:t>
      </w:r>
    </w:p>
    <w:p>
      <w:pPr>
        <w:spacing w:after="80"/>
        <w:shd w:val="clear" w:color="auto" w:fill="F0F7F0"/>
      </w:pPr>
      <w:r>
        <w:rPr>
          <w:color w:val="166334"/>
          <w:sz w:val="21"/>
        </w:rPr>
        <w:t xml:space="preserve">  Response: No proprietary patient data leaves your environment. The AI copilot uses published literature and your own inputs - it does not share your assumptions with third parties. We can walk through our security architecture and sign an NDA before any POC.</w:t>
      </w:r>
    </w:p>
    <w:p>
      <w:pPr>
        <w:spacing w:before="200" w:after="40"/>
      </w:pPr>
      <w:r>
        <w:rPr>
          <w:b/>
          <w:i/>
          <w:color w:val="DC2626"/>
          <w:sz w:val="21"/>
        </w:rPr>
        <w:t>Objection: "The assumptions feel like black boxes."</w:t>
      </w:r>
    </w:p>
    <w:p>
      <w:pPr>
        <w:spacing w:after="80"/>
        <w:shd w:val="clear" w:color="auto" w:fill="F0F7F0"/>
      </w:pPr>
      <w:r>
        <w:rPr>
          <w:color w:val="166334"/>
          <w:sz w:val="21"/>
        </w:rPr>
        <w:t xml:space="preserve">  Response: Every single assumption is fully transparent - value, confidence range, and a PubMed or real-world data citation. You can override any value and document your own rationale. Reviewers and payers see everything.</w:t>
      </w:r>
    </w:p>
    <w:p>
      <w:pPr>
        <w:spacing w:before="200" w:after="40"/>
      </w:pPr>
      <w:r>
        <w:rPr>
          <w:b/>
          <w:i/>
          <w:color w:val="DC2626"/>
          <w:sz w:val="21"/>
        </w:rPr>
        <w:t>Objection: "We don't have budget right now."</w:t>
      </w:r>
    </w:p>
    <w:p>
      <w:pPr>
        <w:spacing w:after="80"/>
        <w:shd w:val="clear" w:color="auto" w:fill="F0F7F0"/>
      </w:pPr>
      <w:r>
        <w:rPr>
          <w:color w:val="166334"/>
          <w:sz w:val="21"/>
        </w:rPr>
        <w:t xml:space="preserve">  Response: Understood. Let's start with a no-cost 2-week POC on one of your active products. If the team saves even two weeks of analyst time per forecast cycle, the ROI conversation becomes much easier. What's the next forecast your team is working on?</w:t>
      </w:r>
    </w:p>
    <w:p>
      <w:pPr>
        <w:spacing w:before="200" w:after="40"/>
      </w:pPr>
      <w:r>
        <w:rPr>
          <w:b/>
          <w:i/>
          <w:color w:val="DC2626"/>
          <w:sz w:val="21"/>
        </w:rPr>
        <w:t>Objection: "We already use [Competitor] for forecasting."</w:t>
      </w:r>
    </w:p>
    <w:p>
      <w:pPr>
        <w:spacing w:after="80"/>
        <w:shd w:val="clear" w:color="auto" w:fill="F0F7F0"/>
      </w:pPr>
      <w:r>
        <w:rPr>
          <w:color w:val="166334"/>
          <w:sz w:val="21"/>
        </w:rPr>
        <w:t xml:space="preserve">  Response: We respect that relationship. The key question is whether your team can run scenarios interactively without filing a request with a modeler, and whether every assumption is traceable to a source. Most tools require expert configuration for every new product. Ours is ready out of the box. Worth a 30-minute comparison?</w:t>
      </w:r>
    </w:p>
    <w:p>
      <w:r>
        <w:br w:type="page"/>
      </w:r>
    </w:p>
    <w:p>
      <w:pPr>
        <w:spacing w:before="280" w:after="120"/>
      </w:pPr>
      <w:r>
        <w:rPr>
          <w:b/>
          <w:color w:val="1A4F72"/>
          <w:sz w:val="34"/>
        </w:rPr>
        <w:t>6. Competitive Positioning</w:t>
      </w:r>
    </w:p>
    <w:p>
      <w:pPr>
        <w:spacing w:before="80" w:after="80"/>
        <w:pBdr>
          <w:bottom w:val="single" w:sz="4" w:space="1" w:color="C9922A"/>
        </w:pBdr>
      </w:pPr>
    </w:p>
    <w:p>
      <w:pPr>
        <w:spacing w:after="80"/>
      </w:pPr>
      <w:r>
        <w:rPr>
          <w:color w:val="1A2C3D"/>
          <w:sz w:val="21"/>
        </w:rPr>
        <w:t>Use the following table when a prospect mentions competitors or compares tools.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448"/>
            <w:vAlign w:val="center"/>
            <w:shd w:val="clear" w:color="auto" w:fill="1A4F72"/>
          </w:tcPr>
          <w:p>
            <w:pPr>
              <w:spacing w:before="60" w:after="60"/>
            </w:pPr>
            <w:r>
              <w:rPr>
                <w:b/>
                <w:color w:val="FFFFFF"/>
                <w:sz w:val="17"/>
              </w:rPr>
              <w:t>Capability</w:t>
            </w:r>
          </w:p>
        </w:tc>
        <w:tc>
          <w:tcPr>
            <w:tcW w:type="dxa" w:w="2160"/>
            <w:vAlign w:val="center"/>
            <w:shd w:val="clear" w:color="auto" w:fill="1A4F72"/>
          </w:tcPr>
          <w:p>
            <w:pPr>
              <w:spacing w:before="60" w:after="60"/>
            </w:pPr>
            <w:r>
              <w:rPr>
                <w:b/>
                <w:color w:val="FFFFFF"/>
                <w:sz w:val="17"/>
              </w:rPr>
              <w:t>Chryselys FA</w:t>
            </w:r>
          </w:p>
        </w:tc>
        <w:tc>
          <w:tcPr>
            <w:tcW w:type="dxa" w:w="1584"/>
            <w:vAlign w:val="center"/>
            <w:shd w:val="clear" w:color="auto" w:fill="1A4F72"/>
          </w:tcPr>
          <w:p>
            <w:pPr>
              <w:spacing w:before="60" w:after="60"/>
            </w:pPr>
            <w:r>
              <w:rPr>
                <w:b/>
                <w:color w:val="FFFFFF"/>
                <w:sz w:val="17"/>
              </w:rPr>
              <w:t>Traditional Excel</w:t>
            </w:r>
          </w:p>
        </w:tc>
        <w:tc>
          <w:tcPr>
            <w:tcW w:type="dxa" w:w="1584"/>
            <w:vAlign w:val="center"/>
            <w:shd w:val="clear" w:color="auto" w:fill="1A4F72"/>
          </w:tcPr>
          <w:p>
            <w:pPr>
              <w:spacing w:before="60" w:after="60"/>
            </w:pPr>
            <w:r>
              <w:rPr>
                <w:b/>
                <w:color w:val="FFFFFF"/>
                <w:sz w:val="17"/>
              </w:rPr>
              <w:t>Generic BI Tools</w:t>
            </w:r>
          </w:p>
        </w:tc>
        <w:tc>
          <w:tcPr>
            <w:tcW w:type="dxa" w:w="1584"/>
            <w:vAlign w:val="center"/>
            <w:shd w:val="clear" w:color="auto" w:fill="1A4F72"/>
          </w:tcPr>
          <w:p>
            <w:pPr>
              <w:spacing w:before="60" w:after="60"/>
            </w:pPr>
            <w:r>
              <w:rPr>
                <w:b/>
                <w:color w:val="FFFFFF"/>
                <w:sz w:val="17"/>
              </w:rPr>
              <w:t>Legacy Pharma Models</w:t>
            </w:r>
          </w:p>
        </w:tc>
      </w:tr>
      <w:tr>
        <w:tc>
          <w:tcPr>
            <w:tcW w:type="dxa" w:w="2448"/>
            <w:vAlign w:val="center"/>
            <w:shd w:val="clear" w:color="auto" w:fill="FFFFFF"/>
          </w:tcPr>
          <w:p>
            <w:pPr>
              <w:spacing w:before="60" w:after="60"/>
            </w:pPr>
            <w:r>
              <w:rPr>
                <w:color w:val="1A2C3D"/>
                <w:sz w:val="17"/>
              </w:rPr>
              <w:t>Time to first forecast</w:t>
            </w:r>
          </w:p>
        </w:tc>
        <w:tc>
          <w:tcPr>
            <w:tcW w:type="dxa" w:w="2160"/>
            <w:vAlign w:val="center"/>
            <w:shd w:val="clear" w:color="auto" w:fill="E8F5EE"/>
          </w:tcPr>
          <w:p>
            <w:pPr>
              <w:spacing w:before="60" w:after="60"/>
            </w:pPr>
            <w:r>
              <w:rPr>
                <w:b/>
                <w:color w:val="0D6E2C"/>
                <w:sz w:val="17"/>
              </w:rPr>
              <w:t>Under 30 minutes</w:t>
            </w:r>
          </w:p>
        </w:tc>
        <w:tc>
          <w:tcPr>
            <w:tcW w:type="dxa" w:w="1584"/>
            <w:vAlign w:val="center"/>
            <w:shd w:val="clear" w:color="auto" w:fill="FFFFFF"/>
          </w:tcPr>
          <w:p>
            <w:pPr>
              <w:spacing w:before="60" w:after="60"/>
            </w:pPr>
            <w:r>
              <w:rPr>
                <w:color w:val="1A2C3D"/>
                <w:sz w:val="17"/>
              </w:rPr>
              <w:t>2-6 weeks</w:t>
            </w:r>
          </w:p>
        </w:tc>
        <w:tc>
          <w:tcPr>
            <w:tcW w:type="dxa" w:w="1584"/>
            <w:vAlign w:val="center"/>
            <w:shd w:val="clear" w:color="auto" w:fill="FFFFFF"/>
          </w:tcPr>
          <w:p>
            <w:pPr>
              <w:spacing w:before="60" w:after="60"/>
            </w:pPr>
            <w:r>
              <w:rPr>
                <w:color w:val="1A2C3D"/>
                <w:sz w:val="17"/>
              </w:rPr>
              <w:t>Requires data team</w:t>
            </w:r>
          </w:p>
        </w:tc>
        <w:tc>
          <w:tcPr>
            <w:tcW w:type="dxa" w:w="1584"/>
            <w:vAlign w:val="center"/>
            <w:shd w:val="clear" w:color="auto" w:fill="FFFFFF"/>
          </w:tcPr>
          <w:p>
            <w:pPr>
              <w:spacing w:before="60" w:after="60"/>
            </w:pPr>
            <w:r>
              <w:rPr>
                <w:color w:val="1A2C3D"/>
                <w:sz w:val="17"/>
              </w:rPr>
              <w:t>4-8 weeks</w:t>
            </w:r>
          </w:p>
        </w:tc>
      </w:tr>
      <w:tr>
        <w:tc>
          <w:tcPr>
            <w:tcW w:type="dxa" w:w="2448"/>
            <w:vAlign w:val="center"/>
            <w:shd w:val="clear" w:color="auto" w:fill="F5F6F8"/>
          </w:tcPr>
          <w:p>
            <w:pPr>
              <w:spacing w:before="60" w:after="60"/>
            </w:pPr>
            <w:r>
              <w:rPr>
                <w:color w:val="1A2C3D"/>
                <w:sz w:val="17"/>
              </w:rPr>
              <w:t>AI-assisted assumptions</w:t>
            </w:r>
          </w:p>
        </w:tc>
        <w:tc>
          <w:tcPr>
            <w:tcW w:type="dxa" w:w="2160"/>
            <w:vAlign w:val="center"/>
            <w:shd w:val="clear" w:color="auto" w:fill="E8F5EE"/>
          </w:tcPr>
          <w:p>
            <w:pPr>
              <w:spacing w:before="60" w:after="60"/>
            </w:pPr>
            <w:r>
              <w:rPr>
                <w:b/>
                <w:color w:val="0D6E2C"/>
                <w:sz w:val="17"/>
              </w:rPr>
              <w:t>Built-in, literature-cited</w:t>
            </w:r>
          </w:p>
        </w:tc>
        <w:tc>
          <w:tcPr>
            <w:tcW w:type="dxa" w:w="1584"/>
            <w:vAlign w:val="center"/>
            <w:shd w:val="clear" w:color="auto" w:fill="F5F6F8"/>
          </w:tcPr>
          <w:p>
            <w:pPr>
              <w:spacing w:before="60" w:after="60"/>
            </w:pPr>
            <w:r>
              <w:rPr>
                <w:color w:val="1A2C3D"/>
                <w:sz w:val="17"/>
              </w:rPr>
              <w:t>None</w:t>
            </w:r>
          </w:p>
        </w:tc>
        <w:tc>
          <w:tcPr>
            <w:tcW w:type="dxa" w:w="1584"/>
            <w:vAlign w:val="center"/>
            <w:shd w:val="clear" w:color="auto" w:fill="F5F6F8"/>
          </w:tcPr>
          <w:p>
            <w:pPr>
              <w:spacing w:before="60" w:after="60"/>
            </w:pPr>
            <w:r>
              <w:rPr>
                <w:color w:val="1A2C3D"/>
                <w:sz w:val="17"/>
              </w:rPr>
              <w:t>None</w:t>
            </w:r>
          </w:p>
        </w:tc>
        <w:tc>
          <w:tcPr>
            <w:tcW w:type="dxa" w:w="1584"/>
            <w:vAlign w:val="center"/>
            <w:shd w:val="clear" w:color="auto" w:fill="F5F6F8"/>
          </w:tcPr>
          <w:p>
            <w:pPr>
              <w:spacing w:before="60" w:after="60"/>
            </w:pPr>
            <w:r>
              <w:rPr>
                <w:color w:val="1A2C3D"/>
                <w:sz w:val="17"/>
              </w:rPr>
              <w:t>None</w:t>
            </w:r>
          </w:p>
        </w:tc>
      </w:tr>
      <w:tr>
        <w:tc>
          <w:tcPr>
            <w:tcW w:type="dxa" w:w="2448"/>
            <w:vAlign w:val="center"/>
            <w:shd w:val="clear" w:color="auto" w:fill="FFFFFF"/>
          </w:tcPr>
          <w:p>
            <w:pPr>
              <w:spacing w:before="60" w:after="60"/>
            </w:pPr>
            <w:r>
              <w:rPr>
                <w:color w:val="1A2C3D"/>
                <w:sz w:val="17"/>
              </w:rPr>
              <w:t>Conversational AI copilot</w:t>
            </w:r>
          </w:p>
        </w:tc>
        <w:tc>
          <w:tcPr>
            <w:tcW w:type="dxa" w:w="2160"/>
            <w:vAlign w:val="center"/>
            <w:shd w:val="clear" w:color="auto" w:fill="E8F5EE"/>
          </w:tcPr>
          <w:p>
            <w:pPr>
              <w:spacing w:before="60" w:after="60"/>
            </w:pPr>
            <w:r>
              <w:rPr>
                <w:b/>
                <w:color w:val="0D6E2C"/>
                <w:sz w:val="17"/>
              </w:rPr>
              <w:t>Yes - plain English Q&amp;A</w:t>
            </w:r>
          </w:p>
        </w:tc>
        <w:tc>
          <w:tcPr>
            <w:tcW w:type="dxa" w:w="1584"/>
            <w:vAlign w:val="center"/>
            <w:shd w:val="clear" w:color="auto" w:fill="FFFFFF"/>
          </w:tcPr>
          <w:p>
            <w:pPr>
              <w:spacing w:before="60" w:after="60"/>
            </w:pPr>
            <w:r>
              <w:rPr>
                <w:color w:val="1A2C3D"/>
                <w:sz w:val="17"/>
              </w:rPr>
              <w:t>No</w:t>
            </w:r>
          </w:p>
        </w:tc>
        <w:tc>
          <w:tcPr>
            <w:tcW w:type="dxa" w:w="1584"/>
            <w:vAlign w:val="center"/>
            <w:shd w:val="clear" w:color="auto" w:fill="FFFFFF"/>
          </w:tcPr>
          <w:p>
            <w:pPr>
              <w:spacing w:before="60" w:after="60"/>
            </w:pPr>
            <w:r>
              <w:rPr>
                <w:color w:val="1A2C3D"/>
                <w:sz w:val="17"/>
              </w:rPr>
              <w:t>No</w:t>
            </w:r>
          </w:p>
        </w:tc>
        <w:tc>
          <w:tcPr>
            <w:tcW w:type="dxa" w:w="1584"/>
            <w:vAlign w:val="center"/>
            <w:shd w:val="clear" w:color="auto" w:fill="FFFFFF"/>
          </w:tcPr>
          <w:p>
            <w:pPr>
              <w:spacing w:before="60" w:after="60"/>
            </w:pPr>
            <w:r>
              <w:rPr>
                <w:color w:val="1A2C3D"/>
                <w:sz w:val="17"/>
              </w:rPr>
              <w:t>No</w:t>
            </w:r>
          </w:p>
        </w:tc>
      </w:tr>
      <w:tr>
        <w:tc>
          <w:tcPr>
            <w:tcW w:type="dxa" w:w="2448"/>
            <w:vAlign w:val="center"/>
            <w:shd w:val="clear" w:color="auto" w:fill="F5F6F8"/>
          </w:tcPr>
          <w:p>
            <w:pPr>
              <w:spacing w:before="60" w:after="60"/>
            </w:pPr>
            <w:r>
              <w:rPr>
                <w:color w:val="1A2C3D"/>
                <w:sz w:val="17"/>
              </w:rPr>
              <w:t>Evidence-backed rationale</w:t>
            </w:r>
          </w:p>
        </w:tc>
        <w:tc>
          <w:tcPr>
            <w:tcW w:type="dxa" w:w="2160"/>
            <w:vAlign w:val="center"/>
            <w:shd w:val="clear" w:color="auto" w:fill="E8F5EE"/>
          </w:tcPr>
          <w:p>
            <w:pPr>
              <w:spacing w:before="60" w:after="60"/>
            </w:pPr>
            <w:r>
              <w:rPr>
                <w:b/>
                <w:color w:val="0D6E2C"/>
                <w:sz w:val="17"/>
              </w:rPr>
              <w:t>Every assumption sourced</w:t>
            </w:r>
          </w:p>
        </w:tc>
        <w:tc>
          <w:tcPr>
            <w:tcW w:type="dxa" w:w="1584"/>
            <w:vAlign w:val="center"/>
            <w:shd w:val="clear" w:color="auto" w:fill="F5F6F8"/>
          </w:tcPr>
          <w:p>
            <w:pPr>
              <w:spacing w:before="60" w:after="60"/>
            </w:pPr>
            <w:r>
              <w:rPr>
                <w:color w:val="1A2C3D"/>
                <w:sz w:val="17"/>
              </w:rPr>
              <w:t>Manual research</w:t>
            </w:r>
          </w:p>
        </w:tc>
        <w:tc>
          <w:tcPr>
            <w:tcW w:type="dxa" w:w="1584"/>
            <w:vAlign w:val="center"/>
            <w:shd w:val="clear" w:color="auto" w:fill="F5F6F8"/>
          </w:tcPr>
          <w:p>
            <w:pPr>
              <w:spacing w:before="60" w:after="60"/>
            </w:pPr>
            <w:r>
              <w:rPr>
                <w:color w:val="1A2C3D"/>
                <w:sz w:val="17"/>
              </w:rPr>
              <w:t>No</w:t>
            </w:r>
          </w:p>
        </w:tc>
        <w:tc>
          <w:tcPr>
            <w:tcW w:type="dxa" w:w="1584"/>
            <w:vAlign w:val="center"/>
            <w:shd w:val="clear" w:color="auto" w:fill="F5F6F8"/>
          </w:tcPr>
          <w:p>
            <w:pPr>
              <w:spacing w:before="60" w:after="60"/>
            </w:pPr>
            <w:r>
              <w:rPr>
                <w:color w:val="1A2C3D"/>
                <w:sz w:val="17"/>
              </w:rPr>
              <w:t>Varies</w:t>
            </w:r>
          </w:p>
        </w:tc>
      </w:tr>
      <w:tr>
        <w:tc>
          <w:tcPr>
            <w:tcW w:type="dxa" w:w="2448"/>
            <w:vAlign w:val="center"/>
            <w:shd w:val="clear" w:color="auto" w:fill="FFFFFF"/>
          </w:tcPr>
          <w:p>
            <w:pPr>
              <w:spacing w:before="60" w:after="60"/>
            </w:pPr>
            <w:r>
              <w:rPr>
                <w:color w:val="1A2C3D"/>
                <w:sz w:val="17"/>
              </w:rPr>
              <w:t>Multi-country support</w:t>
            </w:r>
          </w:p>
        </w:tc>
        <w:tc>
          <w:tcPr>
            <w:tcW w:type="dxa" w:w="2160"/>
            <w:vAlign w:val="center"/>
            <w:shd w:val="clear" w:color="auto" w:fill="E8F5EE"/>
          </w:tcPr>
          <w:p>
            <w:pPr>
              <w:spacing w:before="60" w:after="60"/>
            </w:pPr>
            <w:r>
              <w:rPr>
                <w:b/>
                <w:color w:val="0D6E2C"/>
                <w:sz w:val="17"/>
              </w:rPr>
              <w:t>9 countries out of box</w:t>
            </w:r>
          </w:p>
        </w:tc>
        <w:tc>
          <w:tcPr>
            <w:tcW w:type="dxa" w:w="1584"/>
            <w:vAlign w:val="center"/>
            <w:shd w:val="clear" w:color="auto" w:fill="FFFFFF"/>
          </w:tcPr>
          <w:p>
            <w:pPr>
              <w:spacing w:before="60" w:after="60"/>
            </w:pPr>
            <w:r>
              <w:rPr>
                <w:color w:val="1A2C3D"/>
                <w:sz w:val="17"/>
              </w:rPr>
              <w:t>Manual setup</w:t>
            </w:r>
          </w:p>
        </w:tc>
        <w:tc>
          <w:tcPr>
            <w:tcW w:type="dxa" w:w="1584"/>
            <w:vAlign w:val="center"/>
            <w:shd w:val="clear" w:color="auto" w:fill="FFFFFF"/>
          </w:tcPr>
          <w:p>
            <w:pPr>
              <w:spacing w:before="60" w:after="60"/>
            </w:pPr>
            <w:r>
              <w:rPr>
                <w:color w:val="1A2C3D"/>
                <w:sz w:val="17"/>
              </w:rPr>
              <w:t>Depends</w:t>
            </w:r>
          </w:p>
        </w:tc>
        <w:tc>
          <w:tcPr>
            <w:tcW w:type="dxa" w:w="1584"/>
            <w:vAlign w:val="center"/>
            <w:shd w:val="clear" w:color="auto" w:fill="FFFFFF"/>
          </w:tcPr>
          <w:p>
            <w:pPr>
              <w:spacing w:before="60" w:after="60"/>
            </w:pPr>
            <w:r>
              <w:rPr>
                <w:color w:val="1A2C3D"/>
                <w:sz w:val="17"/>
              </w:rPr>
              <w:t>Limited</w:t>
            </w:r>
          </w:p>
        </w:tc>
      </w:tr>
      <w:tr>
        <w:tc>
          <w:tcPr>
            <w:tcW w:type="dxa" w:w="2448"/>
            <w:vAlign w:val="center"/>
            <w:shd w:val="clear" w:color="auto" w:fill="F5F6F8"/>
          </w:tcPr>
          <w:p>
            <w:pPr>
              <w:spacing w:before="60" w:after="60"/>
            </w:pPr>
            <w:r>
              <w:rPr>
                <w:color w:val="1A2C3D"/>
                <w:sz w:val="17"/>
              </w:rPr>
              <w:t>Indication templates</w:t>
            </w:r>
          </w:p>
        </w:tc>
        <w:tc>
          <w:tcPr>
            <w:tcW w:type="dxa" w:w="2160"/>
            <w:vAlign w:val="center"/>
            <w:shd w:val="clear" w:color="auto" w:fill="E8F5EE"/>
          </w:tcPr>
          <w:p>
            <w:pPr>
              <w:spacing w:before="60" w:after="60"/>
            </w:pPr>
            <w:r>
              <w:rPr>
                <w:b/>
                <w:color w:val="0D6E2C"/>
                <w:sz w:val="17"/>
              </w:rPr>
              <w:t>6 pre-built templates</w:t>
            </w:r>
          </w:p>
        </w:tc>
        <w:tc>
          <w:tcPr>
            <w:tcW w:type="dxa" w:w="1584"/>
            <w:vAlign w:val="center"/>
            <w:shd w:val="clear" w:color="auto" w:fill="F5F6F8"/>
          </w:tcPr>
          <w:p>
            <w:pPr>
              <w:spacing w:before="60" w:after="60"/>
            </w:pPr>
            <w:r>
              <w:rPr>
                <w:color w:val="1A2C3D"/>
                <w:sz w:val="17"/>
              </w:rPr>
              <w:t>Build from scratch</w:t>
            </w:r>
          </w:p>
        </w:tc>
        <w:tc>
          <w:tcPr>
            <w:tcW w:type="dxa" w:w="1584"/>
            <w:vAlign w:val="center"/>
            <w:shd w:val="clear" w:color="auto" w:fill="F5F6F8"/>
          </w:tcPr>
          <w:p>
            <w:pPr>
              <w:spacing w:before="60" w:after="60"/>
            </w:pPr>
            <w:r>
              <w:rPr>
                <w:color w:val="1A2C3D"/>
                <w:sz w:val="17"/>
              </w:rPr>
              <w:t>None</w:t>
            </w:r>
          </w:p>
        </w:tc>
        <w:tc>
          <w:tcPr>
            <w:tcW w:type="dxa" w:w="1584"/>
            <w:vAlign w:val="center"/>
            <w:shd w:val="clear" w:color="auto" w:fill="F5F6F8"/>
          </w:tcPr>
          <w:p>
            <w:pPr>
              <w:spacing w:before="60" w:after="60"/>
            </w:pPr>
            <w:r>
              <w:rPr>
                <w:color w:val="1A2C3D"/>
                <w:sz w:val="17"/>
              </w:rPr>
              <w:t>Limited</w:t>
            </w:r>
          </w:p>
        </w:tc>
      </w:tr>
      <w:tr>
        <w:tc>
          <w:tcPr>
            <w:tcW w:type="dxa" w:w="2448"/>
            <w:vAlign w:val="center"/>
            <w:shd w:val="clear" w:color="auto" w:fill="FFFFFF"/>
          </w:tcPr>
          <w:p>
            <w:pPr>
              <w:spacing w:before="60" w:after="60"/>
            </w:pPr>
            <w:r>
              <w:rPr>
                <w:color w:val="1A2C3D"/>
                <w:sz w:val="17"/>
              </w:rPr>
              <w:t>Scenario comparison</w:t>
            </w:r>
          </w:p>
        </w:tc>
        <w:tc>
          <w:tcPr>
            <w:tcW w:type="dxa" w:w="2160"/>
            <w:vAlign w:val="center"/>
            <w:shd w:val="clear" w:color="auto" w:fill="E8F5EE"/>
          </w:tcPr>
          <w:p>
            <w:pPr>
              <w:spacing w:before="60" w:after="60"/>
            </w:pPr>
            <w:r>
              <w:rPr>
                <w:b/>
                <w:color w:val="0D6E2C"/>
                <w:sz w:val="17"/>
              </w:rPr>
              <w:t>Instant, side-by-side</w:t>
            </w:r>
          </w:p>
        </w:tc>
        <w:tc>
          <w:tcPr>
            <w:tcW w:type="dxa" w:w="1584"/>
            <w:vAlign w:val="center"/>
            <w:shd w:val="clear" w:color="auto" w:fill="FFFFFF"/>
          </w:tcPr>
          <w:p>
            <w:pPr>
              <w:spacing w:before="60" w:after="60"/>
            </w:pPr>
            <w:r>
              <w:rPr>
                <w:color w:val="1A2C3D"/>
                <w:sz w:val="17"/>
              </w:rPr>
              <w:t>Copy/paste sheets</w:t>
            </w:r>
          </w:p>
        </w:tc>
        <w:tc>
          <w:tcPr>
            <w:tcW w:type="dxa" w:w="1584"/>
            <w:vAlign w:val="center"/>
            <w:shd w:val="clear" w:color="auto" w:fill="FFFFFF"/>
          </w:tcPr>
          <w:p>
            <w:pPr>
              <w:spacing w:before="60" w:after="60"/>
            </w:pPr>
            <w:r>
              <w:rPr>
                <w:color w:val="1A2C3D"/>
                <w:sz w:val="17"/>
              </w:rPr>
              <w:t>Limited</w:t>
            </w:r>
          </w:p>
        </w:tc>
        <w:tc>
          <w:tcPr>
            <w:tcW w:type="dxa" w:w="1584"/>
            <w:vAlign w:val="center"/>
            <w:shd w:val="clear" w:color="auto" w:fill="FFFFFF"/>
          </w:tcPr>
          <w:p>
            <w:pPr>
              <w:spacing w:before="60" w:after="60"/>
            </w:pPr>
            <w:r>
              <w:rPr>
                <w:color w:val="1A2C3D"/>
                <w:sz w:val="17"/>
              </w:rPr>
              <w:t>Limited</w:t>
            </w:r>
          </w:p>
        </w:tc>
      </w:tr>
      <w:tr>
        <w:tc>
          <w:tcPr>
            <w:tcW w:type="dxa" w:w="2448"/>
            <w:vAlign w:val="center"/>
            <w:shd w:val="clear" w:color="auto" w:fill="F5F6F8"/>
          </w:tcPr>
          <w:p>
            <w:pPr>
              <w:spacing w:before="60" w:after="60"/>
            </w:pPr>
            <w:r>
              <w:rPr>
                <w:color w:val="1A2C3D"/>
                <w:sz w:val="17"/>
              </w:rPr>
              <w:t>Non-technical user access</w:t>
            </w:r>
          </w:p>
        </w:tc>
        <w:tc>
          <w:tcPr>
            <w:tcW w:type="dxa" w:w="2160"/>
            <w:vAlign w:val="center"/>
            <w:shd w:val="clear" w:color="auto" w:fill="E8F5EE"/>
          </w:tcPr>
          <w:p>
            <w:pPr>
              <w:spacing w:before="60" w:after="60"/>
            </w:pPr>
            <w:r>
              <w:rPr>
                <w:b/>
                <w:color w:val="0D6E2C"/>
                <w:sz w:val="17"/>
              </w:rPr>
              <w:t>Full - no coding needed</w:t>
            </w:r>
          </w:p>
        </w:tc>
        <w:tc>
          <w:tcPr>
            <w:tcW w:type="dxa" w:w="1584"/>
            <w:vAlign w:val="center"/>
            <w:shd w:val="clear" w:color="auto" w:fill="F5F6F8"/>
          </w:tcPr>
          <w:p>
            <w:pPr>
              <w:spacing w:before="60" w:after="60"/>
            </w:pPr>
            <w:r>
              <w:rPr>
                <w:color w:val="1A2C3D"/>
                <w:sz w:val="17"/>
              </w:rPr>
              <w:t>Partial</w:t>
            </w:r>
          </w:p>
        </w:tc>
        <w:tc>
          <w:tcPr>
            <w:tcW w:type="dxa" w:w="1584"/>
            <w:vAlign w:val="center"/>
            <w:shd w:val="clear" w:color="auto" w:fill="F5F6F8"/>
          </w:tcPr>
          <w:p>
            <w:pPr>
              <w:spacing w:before="60" w:after="60"/>
            </w:pPr>
            <w:r>
              <w:rPr>
                <w:color w:val="1A2C3D"/>
                <w:sz w:val="17"/>
              </w:rPr>
              <w:t>Low</w:t>
            </w:r>
          </w:p>
        </w:tc>
        <w:tc>
          <w:tcPr>
            <w:tcW w:type="dxa" w:w="1584"/>
            <w:vAlign w:val="center"/>
            <w:shd w:val="clear" w:color="auto" w:fill="F5F6F8"/>
          </w:tcPr>
          <w:p>
            <w:pPr>
              <w:spacing w:before="60" w:after="60"/>
            </w:pPr>
            <w:r>
              <w:rPr>
                <w:color w:val="1A2C3D"/>
                <w:sz w:val="17"/>
              </w:rPr>
              <w:t>Low</w:t>
            </w:r>
          </w:p>
        </w:tc>
      </w:tr>
      <w:tr>
        <w:tc>
          <w:tcPr>
            <w:tcW w:type="dxa" w:w="2448"/>
            <w:vAlign w:val="center"/>
            <w:shd w:val="clear" w:color="auto" w:fill="FFFFFF"/>
          </w:tcPr>
          <w:p>
            <w:pPr>
              <w:spacing w:before="60" w:after="60"/>
            </w:pPr>
            <w:r>
              <w:rPr>
                <w:color w:val="1A2C3D"/>
                <w:sz w:val="17"/>
              </w:rPr>
              <w:t>Audit trail / sources</w:t>
            </w:r>
          </w:p>
        </w:tc>
        <w:tc>
          <w:tcPr>
            <w:tcW w:type="dxa" w:w="2160"/>
            <w:vAlign w:val="center"/>
            <w:shd w:val="clear" w:color="auto" w:fill="E8F5EE"/>
          </w:tcPr>
          <w:p>
            <w:pPr>
              <w:spacing w:before="60" w:after="60"/>
            </w:pPr>
            <w:r>
              <w:rPr>
                <w:b/>
                <w:color w:val="0D6E2C"/>
                <w:sz w:val="17"/>
              </w:rPr>
              <w:t>Full with URLs</w:t>
            </w:r>
          </w:p>
        </w:tc>
        <w:tc>
          <w:tcPr>
            <w:tcW w:type="dxa" w:w="1584"/>
            <w:vAlign w:val="center"/>
            <w:shd w:val="clear" w:color="auto" w:fill="FFFFFF"/>
          </w:tcPr>
          <w:p>
            <w:pPr>
              <w:spacing w:before="60" w:after="60"/>
            </w:pPr>
            <w:r>
              <w:rPr>
                <w:color w:val="1A2C3D"/>
                <w:sz w:val="17"/>
              </w:rPr>
              <w:t>None</w:t>
            </w:r>
          </w:p>
        </w:tc>
        <w:tc>
          <w:tcPr>
            <w:tcW w:type="dxa" w:w="1584"/>
            <w:vAlign w:val="center"/>
            <w:shd w:val="clear" w:color="auto" w:fill="FFFFFF"/>
          </w:tcPr>
          <w:p>
            <w:pPr>
              <w:spacing w:before="60" w:after="60"/>
            </w:pPr>
            <w:r>
              <w:rPr>
                <w:color w:val="1A2C3D"/>
                <w:sz w:val="17"/>
              </w:rPr>
              <w:t>None</w:t>
            </w:r>
          </w:p>
        </w:tc>
        <w:tc>
          <w:tcPr>
            <w:tcW w:type="dxa" w:w="1584"/>
            <w:vAlign w:val="center"/>
            <w:shd w:val="clear" w:color="auto" w:fill="FFFFFF"/>
          </w:tcPr>
          <w:p>
            <w:pPr>
              <w:spacing w:before="60" w:after="60"/>
            </w:pPr>
            <w:r>
              <w:rPr>
                <w:color w:val="1A2C3D"/>
                <w:sz w:val="17"/>
              </w:rPr>
              <w:t>Varies</w:t>
            </w:r>
          </w:p>
        </w:tc>
      </w:tr>
    </w:tbl>
    <w:p>
      <w:r>
        <w:br w:type="page"/>
      </w:r>
    </w:p>
    <w:p>
      <w:pPr>
        <w:spacing w:before="280" w:after="120"/>
      </w:pPr>
      <w:r>
        <w:rPr>
          <w:b/>
          <w:color w:val="1A4F72"/>
          <w:sz w:val="34"/>
        </w:rPr>
        <w:t>7. Sample Forecast Output - Keytruda / NSCLC (US)</w:t>
      </w:r>
    </w:p>
    <w:p>
      <w:pPr>
        <w:spacing w:before="80" w:after="80"/>
        <w:pBdr>
          <w:bottom w:val="single" w:sz="4" w:space="1" w:color="C9922A"/>
        </w:pBdr>
      </w:pPr>
    </w:p>
    <w:p>
      <w:pPr>
        <w:spacing w:after="80"/>
      </w:pPr>
      <w:r>
        <w:rPr>
          <w:color w:val="1A2C3D"/>
          <w:sz w:val="21"/>
        </w:rPr>
        <w:t>Use this real forecast output during demos to show the credibility and detail of Forecasting Accelerator results. All numbers are generated by the AI from published literature assumptions.</w:t>
      </w:r>
    </w:p>
    <w:p>
      <w:pPr>
        <w:spacing w:before="200" w:after="80"/>
      </w:pPr>
      <w:r>
        <w:rPr>
          <w:b/>
          <w:color w:val="C9922A"/>
          <w:sz w:val="22"/>
        </w:rPr>
        <w:t>KEY ASSUMPTIONS</w:t>
      </w:r>
    </w:p>
    <w:p>
      <w:pPr>
        <w:pStyle w:val="ListBullet"/>
        <w:spacing w:after="60"/>
      </w:pPr>
      <w:r>
        <w:rPr>
          <w:color w:val="1A2C3D"/>
          <w:sz w:val="21"/>
        </w:rPr>
        <w:t>US Total Population: 335,000,000 (2026 baseline, 0.5% annual growth)</w:t>
      </w:r>
    </w:p>
    <w:p>
      <w:pPr>
        <w:pStyle w:val="ListBullet"/>
        <w:spacing w:after="60"/>
      </w:pPr>
      <w:r>
        <w:rPr>
          <w:color w:val="1A2C3D"/>
          <w:sz w:val="21"/>
        </w:rPr>
        <w:t>NSCLC Incidence Rate: 1.005% per year</w:t>
      </w:r>
    </w:p>
    <w:p>
      <w:pPr>
        <w:pStyle w:val="ListBullet"/>
        <w:spacing w:after="60"/>
      </w:pPr>
      <w:r>
        <w:rPr>
          <w:color w:val="1A2C3D"/>
          <w:sz w:val="21"/>
        </w:rPr>
        <w:t>Diagnosis Rate: 20% (National Lung Screening Trial)</w:t>
      </w:r>
    </w:p>
    <w:p>
      <w:pPr>
        <w:pStyle w:val="ListBullet"/>
        <w:spacing w:after="60"/>
      </w:pPr>
      <w:r>
        <w:rPr>
          <w:color w:val="1A2C3D"/>
          <w:sz w:val="21"/>
        </w:rPr>
        <w:t>PD-1 Eligibility Criteria: 40%</w:t>
      </w:r>
    </w:p>
    <w:p>
      <w:pPr>
        <w:pStyle w:val="ListBullet"/>
        <w:spacing w:after="60"/>
      </w:pPr>
      <w:r>
        <w:rPr>
          <w:color w:val="1A2C3D"/>
          <w:sz w:val="21"/>
        </w:rPr>
        <w:t>Annual Cost per Patient: $150,000</w:t>
      </w:r>
    </w:p>
    <w:p>
      <w:pPr>
        <w:pStyle w:val="ListBullet"/>
        <w:spacing w:after="60"/>
      </w:pPr>
      <w:r>
        <w:rPr>
          <w:color w:val="1A2C3D"/>
          <w:sz w:val="21"/>
        </w:rPr>
        <w:t>Discount / Rebate Rate: 22%</w:t>
      </w:r>
    </w:p>
    <w:p>
      <w:pPr>
        <w:pStyle w:val="ListBullet"/>
        <w:spacing w:after="60"/>
      </w:pPr>
      <w:r>
        <w:rPr>
          <w:color w:val="1A2C3D"/>
          <w:sz w:val="21"/>
        </w:rPr>
        <w:t>Time to Peak Share: 5 years (S-curve adoption, launch 2026, peak 2031)</w:t>
      </w:r>
    </w:p>
    <w:p>
      <w:pPr>
        <w:spacing w:before="200" w:after="80"/>
      </w:pPr>
      <w:r>
        <w:rPr>
          <w:b/>
          <w:color w:val="C9922A"/>
          <w:sz w:val="22"/>
        </w:rPr>
        <w:t>REVENUE TRAJECTORY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96"/>
            <w:vAlign w:val="center"/>
            <w:shd w:val="clear" w:color="auto" w:fill="1A4F72"/>
          </w:tcPr>
          <w:p>
            <w:pPr>
              <w:spacing w:before="60" w:after="60"/>
              <w:jc w:val="left"/>
            </w:pPr>
            <w:r>
              <w:rPr>
                <w:b/>
                <w:color w:val="FFFFFF"/>
                <w:sz w:val="18"/>
              </w:rPr>
              <w:t>Year</w:t>
            </w:r>
          </w:p>
        </w:tc>
        <w:tc>
          <w:tcPr>
            <w:tcW w:type="dxa" w:w="1584"/>
            <w:vAlign w:val="center"/>
            <w:shd w:val="clear" w:color="auto" w:fill="1A4F72"/>
          </w:tcPr>
          <w:p>
            <w:pPr>
              <w:spacing w:before="60" w:after="60"/>
              <w:jc w:val="center"/>
            </w:pPr>
            <w:r>
              <w:rPr>
                <w:b/>
                <w:color w:val="FFFFFF"/>
                <w:sz w:val="18"/>
              </w:rPr>
              <w:t>Treated Patients</w:t>
            </w:r>
          </w:p>
        </w:tc>
        <w:tc>
          <w:tcPr>
            <w:tcW w:type="dxa" w:w="1296"/>
            <w:vAlign w:val="center"/>
            <w:shd w:val="clear" w:color="auto" w:fill="1A4F72"/>
          </w:tcPr>
          <w:p>
            <w:pPr>
              <w:spacing w:before="60" w:after="60"/>
              <w:jc w:val="center"/>
            </w:pPr>
            <w:r>
              <w:rPr>
                <w:b/>
                <w:color w:val="FFFFFF"/>
                <w:sz w:val="18"/>
              </w:rPr>
              <w:t>Product Share</w:t>
            </w:r>
          </w:p>
        </w:tc>
        <w:tc>
          <w:tcPr>
            <w:tcW w:type="dxa" w:w="1728"/>
            <w:vAlign w:val="center"/>
            <w:shd w:val="clear" w:color="auto" w:fill="1A4F72"/>
          </w:tcPr>
          <w:p>
            <w:pPr>
              <w:spacing w:before="60" w:after="60"/>
              <w:jc w:val="center"/>
            </w:pPr>
            <w:r>
              <w:rPr>
                <w:b/>
                <w:color w:val="FFFFFF"/>
                <w:sz w:val="18"/>
              </w:rPr>
              <w:t>Gross Sales</w:t>
            </w:r>
          </w:p>
        </w:tc>
        <w:tc>
          <w:tcPr>
            <w:tcW w:type="dxa" w:w="1440"/>
            <w:vAlign w:val="center"/>
            <w:shd w:val="clear" w:color="auto" w:fill="1A4F72"/>
          </w:tcPr>
          <w:p>
            <w:pPr>
              <w:spacing w:before="60" w:after="60"/>
              <w:jc w:val="center"/>
            </w:pPr>
            <w:r>
              <w:rPr>
                <w:b/>
                <w:color w:val="FFFFFF"/>
                <w:sz w:val="18"/>
              </w:rPr>
              <w:t>Net Sales</w:t>
            </w:r>
          </w:p>
        </w:tc>
        <w:tc>
          <w:tcPr>
            <w:tcW w:type="dxa" w:w="1584"/>
            <w:vAlign w:val="center"/>
            <w:shd w:val="clear" w:color="auto" w:fill="1A4F72"/>
          </w:tcPr>
          <w:p>
            <w:pPr>
              <w:spacing w:before="60" w:after="60"/>
              <w:jc w:val="center"/>
            </w:pPr>
            <w:r>
              <w:rPr>
                <w:b/>
                <w:color w:val="FFFFFF"/>
                <w:sz w:val="18"/>
              </w:rPr>
              <w:t>YoY Revenue Growth</w:t>
            </w:r>
          </w:p>
        </w:tc>
      </w:tr>
      <w:tr>
        <w:tc>
          <w:tcPr>
            <w:tcW w:type="dxa" w:w="1296"/>
            <w:vAlign w:val="center"/>
            <w:shd w:val="clear" w:color="auto" w:fill="FFFFFF"/>
          </w:tcPr>
          <w:p>
            <w:pPr>
              <w:spacing w:before="60" w:after="60"/>
              <w:jc w:val="left"/>
            </w:pPr>
            <w:r>
              <w:rPr>
                <w:color w:val="1A2C3D"/>
                <w:sz w:val="18"/>
              </w:rPr>
              <w:t>2026</w:t>
            </w:r>
          </w:p>
        </w:tc>
        <w:tc>
          <w:tcPr>
            <w:tcW w:type="dxa" w:w="1584"/>
            <w:vAlign w:val="center"/>
            <w:shd w:val="clear" w:color="auto" w:fill="FFFFFF"/>
          </w:tcPr>
          <w:p>
            <w:pPr>
              <w:spacing w:before="60" w:after="60"/>
              <w:jc w:val="center"/>
            </w:pPr>
            <w:r>
              <w:rPr>
                <w:color w:val="1A2C3D"/>
                <w:sz w:val="18"/>
              </w:rPr>
              <w:t>404</w:t>
            </w:r>
          </w:p>
        </w:tc>
        <w:tc>
          <w:tcPr>
            <w:tcW w:type="dxa" w:w="1296"/>
            <w:vAlign w:val="center"/>
            <w:shd w:val="clear" w:color="auto" w:fill="FFFFFF"/>
          </w:tcPr>
          <w:p>
            <w:pPr>
              <w:spacing w:before="60" w:after="60"/>
              <w:jc w:val="center"/>
            </w:pPr>
            <w:r>
              <w:rPr>
                <w:color w:val="1A2C3D"/>
                <w:sz w:val="18"/>
              </w:rPr>
              <w:t>3.0%</w:t>
            </w:r>
          </w:p>
        </w:tc>
        <w:tc>
          <w:tcPr>
            <w:tcW w:type="dxa" w:w="1728"/>
            <w:vAlign w:val="center"/>
            <w:shd w:val="clear" w:color="auto" w:fill="FFFFFF"/>
          </w:tcPr>
          <w:p>
            <w:pPr>
              <w:spacing w:before="60" w:after="60"/>
              <w:jc w:val="center"/>
            </w:pPr>
            <w:r>
              <w:rPr>
                <w:color w:val="1A2C3D"/>
                <w:sz w:val="18"/>
              </w:rPr>
              <w:t>$60.6M</w:t>
            </w:r>
          </w:p>
        </w:tc>
        <w:tc>
          <w:tcPr>
            <w:tcW w:type="dxa" w:w="1440"/>
            <w:vAlign w:val="center"/>
            <w:shd w:val="clear" w:color="auto" w:fill="FFFFFF"/>
          </w:tcPr>
          <w:p>
            <w:pPr>
              <w:spacing w:before="60" w:after="60"/>
              <w:jc w:val="center"/>
            </w:pPr>
            <w:r>
              <w:rPr>
                <w:color w:val="1A2C3D"/>
                <w:sz w:val="18"/>
              </w:rPr>
              <w:t>$47.3M</w:t>
            </w:r>
          </w:p>
        </w:tc>
        <w:tc>
          <w:tcPr>
            <w:tcW w:type="dxa" w:w="1584"/>
            <w:vAlign w:val="center"/>
            <w:shd w:val="clear" w:color="auto" w:fill="FFFFFF"/>
          </w:tcPr>
          <w:p>
            <w:pPr>
              <w:spacing w:before="60" w:after="60"/>
              <w:jc w:val="center"/>
            </w:pPr>
            <w:r>
              <w:rPr>
                <w:color w:val="1A2C3D"/>
                <w:sz w:val="18"/>
              </w:rPr>
              <w:t>Launch year</w:t>
            </w:r>
          </w:p>
        </w:tc>
      </w:tr>
      <w:tr>
        <w:tc>
          <w:tcPr>
            <w:tcW w:type="dxa" w:w="1296"/>
            <w:vAlign w:val="center"/>
            <w:shd w:val="clear" w:color="auto" w:fill="F5F6F8"/>
          </w:tcPr>
          <w:p>
            <w:pPr>
              <w:spacing w:before="60" w:after="60"/>
              <w:jc w:val="left"/>
            </w:pPr>
            <w:r>
              <w:rPr>
                <w:color w:val="1A2C3D"/>
                <w:sz w:val="18"/>
              </w:rPr>
              <w:t>2027</w:t>
            </w:r>
          </w:p>
        </w:tc>
        <w:tc>
          <w:tcPr>
            <w:tcW w:type="dxa" w:w="1584"/>
            <w:vAlign w:val="center"/>
            <w:shd w:val="clear" w:color="auto" w:fill="F5F6F8"/>
          </w:tcPr>
          <w:p>
            <w:pPr>
              <w:spacing w:before="60" w:after="60"/>
              <w:jc w:val="center"/>
            </w:pPr>
            <w:r>
              <w:rPr>
                <w:color w:val="1A2C3D"/>
                <w:sz w:val="18"/>
              </w:rPr>
              <w:t>760</w:t>
            </w:r>
          </w:p>
        </w:tc>
        <w:tc>
          <w:tcPr>
            <w:tcW w:type="dxa" w:w="1296"/>
            <w:vAlign w:val="center"/>
            <w:shd w:val="clear" w:color="auto" w:fill="F5F6F8"/>
          </w:tcPr>
          <w:p>
            <w:pPr>
              <w:spacing w:before="60" w:after="60"/>
              <w:jc w:val="center"/>
            </w:pPr>
            <w:r>
              <w:rPr>
                <w:color w:val="1A2C3D"/>
                <w:sz w:val="18"/>
              </w:rPr>
              <w:t>5.8%</w:t>
            </w:r>
          </w:p>
        </w:tc>
        <w:tc>
          <w:tcPr>
            <w:tcW w:type="dxa" w:w="1728"/>
            <w:vAlign w:val="center"/>
            <w:shd w:val="clear" w:color="auto" w:fill="F5F6F8"/>
          </w:tcPr>
          <w:p>
            <w:pPr>
              <w:spacing w:before="60" w:after="60"/>
              <w:jc w:val="center"/>
            </w:pPr>
            <w:r>
              <w:rPr>
                <w:color w:val="1A2C3D"/>
                <w:sz w:val="18"/>
              </w:rPr>
              <w:t>$114.1M</w:t>
            </w:r>
          </w:p>
        </w:tc>
        <w:tc>
          <w:tcPr>
            <w:tcW w:type="dxa" w:w="1440"/>
            <w:vAlign w:val="center"/>
            <w:shd w:val="clear" w:color="auto" w:fill="F5F6F8"/>
          </w:tcPr>
          <w:p>
            <w:pPr>
              <w:spacing w:before="60" w:after="60"/>
              <w:jc w:val="center"/>
            </w:pPr>
            <w:r>
              <w:rPr>
                <w:color w:val="1A2C3D"/>
                <w:sz w:val="18"/>
              </w:rPr>
              <w:t>$89.0M</w:t>
            </w:r>
          </w:p>
        </w:tc>
        <w:tc>
          <w:tcPr>
            <w:tcW w:type="dxa" w:w="1584"/>
            <w:vAlign w:val="center"/>
            <w:shd w:val="clear" w:color="auto" w:fill="F5F6F8"/>
          </w:tcPr>
          <w:p>
            <w:pPr>
              <w:spacing w:before="60" w:after="60"/>
              <w:jc w:val="center"/>
            </w:pPr>
            <w:r>
              <w:rPr>
                <w:color w:val="1A2C3D"/>
                <w:sz w:val="18"/>
              </w:rPr>
              <w:t>+88%</w:t>
            </w:r>
          </w:p>
        </w:tc>
      </w:tr>
      <w:tr>
        <w:tc>
          <w:tcPr>
            <w:tcW w:type="dxa" w:w="1296"/>
            <w:vAlign w:val="center"/>
            <w:shd w:val="clear" w:color="auto" w:fill="FFFFFF"/>
          </w:tcPr>
          <w:p>
            <w:pPr>
              <w:spacing w:before="60" w:after="60"/>
              <w:jc w:val="left"/>
            </w:pPr>
            <w:r>
              <w:rPr>
                <w:color w:val="1A2C3D"/>
                <w:sz w:val="18"/>
              </w:rPr>
              <w:t>2028</w:t>
            </w:r>
          </w:p>
        </w:tc>
        <w:tc>
          <w:tcPr>
            <w:tcW w:type="dxa" w:w="1584"/>
            <w:vAlign w:val="center"/>
            <w:shd w:val="clear" w:color="auto" w:fill="FFFFFF"/>
          </w:tcPr>
          <w:p>
            <w:pPr>
              <w:spacing w:before="60" w:after="60"/>
              <w:jc w:val="center"/>
            </w:pPr>
            <w:r>
              <w:rPr>
                <w:color w:val="1A2C3D"/>
                <w:sz w:val="18"/>
              </w:rPr>
              <w:t>1,368</w:t>
            </w:r>
          </w:p>
        </w:tc>
        <w:tc>
          <w:tcPr>
            <w:tcW w:type="dxa" w:w="1296"/>
            <w:vAlign w:val="center"/>
            <w:shd w:val="clear" w:color="auto" w:fill="FFFFFF"/>
          </w:tcPr>
          <w:p>
            <w:pPr>
              <w:spacing w:before="60" w:after="60"/>
              <w:jc w:val="center"/>
            </w:pPr>
            <w:r>
              <w:rPr>
                <w:color w:val="1A2C3D"/>
                <w:sz w:val="18"/>
              </w:rPr>
              <w:t>10.8%</w:t>
            </w:r>
          </w:p>
        </w:tc>
        <w:tc>
          <w:tcPr>
            <w:tcW w:type="dxa" w:w="1728"/>
            <w:vAlign w:val="center"/>
            <w:shd w:val="clear" w:color="auto" w:fill="FFFFFF"/>
          </w:tcPr>
          <w:p>
            <w:pPr>
              <w:spacing w:before="60" w:after="60"/>
              <w:jc w:val="center"/>
            </w:pPr>
            <w:r>
              <w:rPr>
                <w:color w:val="1A2C3D"/>
                <w:sz w:val="18"/>
              </w:rPr>
              <w:t>$205.1M</w:t>
            </w:r>
          </w:p>
        </w:tc>
        <w:tc>
          <w:tcPr>
            <w:tcW w:type="dxa" w:w="1440"/>
            <w:vAlign w:val="center"/>
            <w:shd w:val="clear" w:color="auto" w:fill="FFFFFF"/>
          </w:tcPr>
          <w:p>
            <w:pPr>
              <w:spacing w:before="60" w:after="60"/>
              <w:jc w:val="center"/>
            </w:pPr>
            <w:r>
              <w:rPr>
                <w:color w:val="1A2C3D"/>
                <w:sz w:val="18"/>
              </w:rPr>
              <w:t>$160.0M</w:t>
            </w:r>
          </w:p>
        </w:tc>
        <w:tc>
          <w:tcPr>
            <w:tcW w:type="dxa" w:w="1584"/>
            <w:vAlign w:val="center"/>
            <w:shd w:val="clear" w:color="auto" w:fill="FFFFFF"/>
          </w:tcPr>
          <w:p>
            <w:pPr>
              <w:spacing w:before="60" w:after="60"/>
              <w:jc w:val="center"/>
            </w:pPr>
            <w:r>
              <w:rPr>
                <w:color w:val="1A2C3D"/>
                <w:sz w:val="18"/>
              </w:rPr>
              <w:t>+80%</w:t>
            </w:r>
          </w:p>
        </w:tc>
      </w:tr>
      <w:tr>
        <w:tc>
          <w:tcPr>
            <w:tcW w:type="dxa" w:w="1296"/>
            <w:vAlign w:val="center"/>
            <w:shd w:val="clear" w:color="auto" w:fill="F5F6F8"/>
          </w:tcPr>
          <w:p>
            <w:pPr>
              <w:spacing w:before="60" w:after="60"/>
              <w:jc w:val="left"/>
            </w:pPr>
            <w:r>
              <w:rPr>
                <w:color w:val="1A2C3D"/>
                <w:sz w:val="18"/>
              </w:rPr>
              <w:t>2029</w:t>
            </w:r>
          </w:p>
        </w:tc>
        <w:tc>
          <w:tcPr>
            <w:tcW w:type="dxa" w:w="1584"/>
            <w:vAlign w:val="center"/>
            <w:shd w:val="clear" w:color="auto" w:fill="F5F6F8"/>
          </w:tcPr>
          <w:p>
            <w:pPr>
              <w:spacing w:before="60" w:after="60"/>
              <w:jc w:val="center"/>
            </w:pPr>
            <w:r>
              <w:rPr>
                <w:color w:val="1A2C3D"/>
                <w:sz w:val="18"/>
              </w:rPr>
              <w:t>2,045</w:t>
            </w:r>
          </w:p>
        </w:tc>
        <w:tc>
          <w:tcPr>
            <w:tcW w:type="dxa" w:w="1296"/>
            <w:vAlign w:val="center"/>
            <w:shd w:val="clear" w:color="auto" w:fill="F5F6F8"/>
          </w:tcPr>
          <w:p>
            <w:pPr>
              <w:spacing w:before="60" w:after="60"/>
              <w:jc w:val="center"/>
            </w:pPr>
            <w:r>
              <w:rPr>
                <w:color w:val="1A2C3D"/>
                <w:sz w:val="18"/>
              </w:rPr>
              <w:t>17.2%</w:t>
            </w:r>
          </w:p>
        </w:tc>
        <w:tc>
          <w:tcPr>
            <w:tcW w:type="dxa" w:w="1728"/>
            <w:vAlign w:val="center"/>
            <w:shd w:val="clear" w:color="auto" w:fill="F5F6F8"/>
          </w:tcPr>
          <w:p>
            <w:pPr>
              <w:spacing w:before="60" w:after="60"/>
              <w:jc w:val="center"/>
            </w:pPr>
            <w:r>
              <w:rPr>
                <w:color w:val="1A2C3D"/>
                <w:sz w:val="18"/>
              </w:rPr>
              <w:t>$306.8M</w:t>
            </w:r>
          </w:p>
        </w:tc>
        <w:tc>
          <w:tcPr>
            <w:tcW w:type="dxa" w:w="1440"/>
            <w:vAlign w:val="center"/>
            <w:shd w:val="clear" w:color="auto" w:fill="F5F6F8"/>
          </w:tcPr>
          <w:p>
            <w:pPr>
              <w:spacing w:before="60" w:after="60"/>
              <w:jc w:val="center"/>
            </w:pPr>
            <w:r>
              <w:rPr>
                <w:color w:val="1A2C3D"/>
                <w:sz w:val="18"/>
              </w:rPr>
              <w:t>$239.3M</w:t>
            </w:r>
          </w:p>
        </w:tc>
        <w:tc>
          <w:tcPr>
            <w:tcW w:type="dxa" w:w="1584"/>
            <w:vAlign w:val="center"/>
            <w:shd w:val="clear" w:color="auto" w:fill="F5F6F8"/>
          </w:tcPr>
          <w:p>
            <w:pPr>
              <w:spacing w:before="60" w:after="60"/>
              <w:jc w:val="center"/>
            </w:pPr>
            <w:r>
              <w:rPr>
                <w:color w:val="1A2C3D"/>
                <w:sz w:val="18"/>
              </w:rPr>
              <w:t>+50%</w:t>
            </w:r>
          </w:p>
        </w:tc>
      </w:tr>
      <w:tr>
        <w:tc>
          <w:tcPr>
            <w:tcW w:type="dxa" w:w="1296"/>
            <w:vAlign w:val="center"/>
            <w:shd w:val="clear" w:color="auto" w:fill="FFFFFF"/>
          </w:tcPr>
          <w:p>
            <w:pPr>
              <w:spacing w:before="60" w:after="60"/>
              <w:jc w:val="left"/>
            </w:pPr>
            <w:r>
              <w:rPr>
                <w:color w:val="1A2C3D"/>
                <w:sz w:val="18"/>
              </w:rPr>
              <w:t>2030</w:t>
            </w:r>
          </w:p>
        </w:tc>
        <w:tc>
          <w:tcPr>
            <w:tcW w:type="dxa" w:w="1584"/>
            <w:vAlign w:val="center"/>
            <w:shd w:val="clear" w:color="auto" w:fill="FFFFFF"/>
          </w:tcPr>
          <w:p>
            <w:pPr>
              <w:spacing w:before="60" w:after="60"/>
              <w:jc w:val="center"/>
            </w:pPr>
            <w:r>
              <w:rPr>
                <w:color w:val="1A2C3D"/>
                <w:sz w:val="18"/>
              </w:rPr>
              <w:t>2,521</w:t>
            </w:r>
          </w:p>
        </w:tc>
        <w:tc>
          <w:tcPr>
            <w:tcW w:type="dxa" w:w="1296"/>
            <w:vAlign w:val="center"/>
            <w:shd w:val="clear" w:color="auto" w:fill="FFFFFF"/>
          </w:tcPr>
          <w:p>
            <w:pPr>
              <w:spacing w:before="60" w:after="60"/>
              <w:jc w:val="center"/>
            </w:pPr>
            <w:r>
              <w:rPr>
                <w:color w:val="1A2C3D"/>
                <w:sz w:val="18"/>
              </w:rPr>
              <w:t>22.2%</w:t>
            </w:r>
          </w:p>
        </w:tc>
        <w:tc>
          <w:tcPr>
            <w:tcW w:type="dxa" w:w="1728"/>
            <w:vAlign w:val="center"/>
            <w:shd w:val="clear" w:color="auto" w:fill="FFFFFF"/>
          </w:tcPr>
          <w:p>
            <w:pPr>
              <w:spacing w:before="60" w:after="60"/>
              <w:jc w:val="center"/>
            </w:pPr>
            <w:r>
              <w:rPr>
                <w:color w:val="1A2C3D"/>
                <w:sz w:val="18"/>
              </w:rPr>
              <w:t>$378.1M</w:t>
            </w:r>
          </w:p>
        </w:tc>
        <w:tc>
          <w:tcPr>
            <w:tcW w:type="dxa" w:w="1440"/>
            <w:vAlign w:val="center"/>
            <w:shd w:val="clear" w:color="auto" w:fill="FFFFFF"/>
          </w:tcPr>
          <w:p>
            <w:pPr>
              <w:spacing w:before="60" w:after="60"/>
              <w:jc w:val="center"/>
            </w:pPr>
            <w:r>
              <w:rPr>
                <w:color w:val="1A2C3D"/>
                <w:sz w:val="18"/>
              </w:rPr>
              <w:t>$294.9M</w:t>
            </w:r>
          </w:p>
        </w:tc>
        <w:tc>
          <w:tcPr>
            <w:tcW w:type="dxa" w:w="1584"/>
            <w:vAlign w:val="center"/>
            <w:shd w:val="clear" w:color="auto" w:fill="FFFFFF"/>
          </w:tcPr>
          <w:p>
            <w:pPr>
              <w:spacing w:before="60" w:after="60"/>
              <w:jc w:val="center"/>
            </w:pPr>
            <w:r>
              <w:rPr>
                <w:color w:val="1A2C3D"/>
                <w:sz w:val="18"/>
              </w:rPr>
              <w:t>+23%</w:t>
            </w:r>
          </w:p>
        </w:tc>
      </w:tr>
      <w:tr>
        <w:tc>
          <w:tcPr>
            <w:tcW w:type="dxa" w:w="1296"/>
            <w:vAlign w:val="center"/>
            <w:shd w:val="clear" w:color="auto" w:fill="FFF3CD"/>
          </w:tcPr>
          <w:p>
            <w:pPr>
              <w:spacing w:before="60" w:after="60"/>
              <w:jc w:val="left"/>
            </w:pPr>
            <w:r>
              <w:rPr>
                <w:b/>
                <w:color w:val="1A2C3D"/>
                <w:sz w:val="18"/>
              </w:rPr>
              <w:t>2031 (Peak)</w:t>
            </w:r>
          </w:p>
        </w:tc>
        <w:tc>
          <w:tcPr>
            <w:tcW w:type="dxa" w:w="1584"/>
            <w:vAlign w:val="center"/>
            <w:shd w:val="clear" w:color="auto" w:fill="FFF3CD"/>
          </w:tcPr>
          <w:p>
            <w:pPr>
              <w:spacing w:before="60" w:after="60"/>
              <w:jc w:val="center"/>
            </w:pPr>
            <w:r>
              <w:rPr>
                <w:b/>
                <w:color w:val="1A2C3D"/>
                <w:sz w:val="18"/>
              </w:rPr>
              <w:t>2,761</w:t>
            </w:r>
          </w:p>
        </w:tc>
        <w:tc>
          <w:tcPr>
            <w:tcW w:type="dxa" w:w="1296"/>
            <w:vAlign w:val="center"/>
            <w:shd w:val="clear" w:color="auto" w:fill="FFF3CD"/>
          </w:tcPr>
          <w:p>
            <w:pPr>
              <w:spacing w:before="60" w:after="60"/>
              <w:jc w:val="center"/>
            </w:pPr>
            <w:r>
              <w:rPr>
                <w:b/>
                <w:color w:val="1A2C3D"/>
                <w:sz w:val="18"/>
              </w:rPr>
              <w:t>25.0%</w:t>
            </w:r>
          </w:p>
        </w:tc>
        <w:tc>
          <w:tcPr>
            <w:tcW w:type="dxa" w:w="1728"/>
            <w:vAlign w:val="center"/>
            <w:shd w:val="clear" w:color="auto" w:fill="FFF3CD"/>
          </w:tcPr>
          <w:p>
            <w:pPr>
              <w:spacing w:before="60" w:after="60"/>
              <w:jc w:val="center"/>
            </w:pPr>
            <w:r>
              <w:rPr>
                <w:b/>
                <w:color w:val="1A2C3D"/>
                <w:sz w:val="18"/>
              </w:rPr>
              <w:t>$414.2M</w:t>
            </w:r>
          </w:p>
        </w:tc>
        <w:tc>
          <w:tcPr>
            <w:tcW w:type="dxa" w:w="1440"/>
            <w:vAlign w:val="center"/>
            <w:shd w:val="clear" w:color="auto" w:fill="FFF3CD"/>
          </w:tcPr>
          <w:p>
            <w:pPr>
              <w:spacing w:before="60" w:after="60"/>
              <w:jc w:val="center"/>
            </w:pPr>
            <w:r>
              <w:rPr>
                <w:b/>
                <w:color w:val="1A2C3D"/>
                <w:sz w:val="18"/>
              </w:rPr>
              <w:t>$323.1M</w:t>
            </w:r>
          </w:p>
        </w:tc>
        <w:tc>
          <w:tcPr>
            <w:tcW w:type="dxa" w:w="1584"/>
            <w:vAlign w:val="center"/>
            <w:shd w:val="clear" w:color="auto" w:fill="FFF3CD"/>
          </w:tcPr>
          <w:p>
            <w:pPr>
              <w:spacing w:before="60" w:after="60"/>
              <w:jc w:val="center"/>
            </w:pPr>
            <w:r>
              <w:rPr>
                <w:b/>
                <w:color w:val="1A2C3D"/>
                <w:sz w:val="18"/>
              </w:rPr>
              <w:t>+10%</w:t>
            </w:r>
          </w:p>
        </w:tc>
      </w:tr>
    </w:tbl>
    <w:p>
      <w:pPr>
        <w:spacing w:after="80"/>
      </w:pPr>
      <w:r>
        <w:rPr>
          <w:color w:val="1A2C3D"/>
          <w:sz w:val="21"/>
        </w:rPr>
      </w:r>
    </w:p>
    <w:p>
      <w:r>
        <w:rPr>
          <w:i/>
          <w:color w:val="4A6580"/>
          <w:sz w:val="18"/>
        </w:rPr>
        <w:t>Note: Peak net sales of $323M in 2031 modeled at 25% product share within ~4% PD-1 class share of the eligible NSCLC market in the United States.</w:t>
      </w:r>
    </w:p>
    <w:p>
      <w:pPr>
        <w:spacing w:before="120" w:after="160"/>
        <w:shd w:val="clear" w:color="auto" w:fill="E8F0F7"/>
      </w:pPr>
      <w:r>
        <w:rPr>
          <w:i/>
          <w:color w:val="2E6A96"/>
          <w:sz w:val="19"/>
        </w:rPr>
        <w:t xml:space="preserve">  [Screenshot placeholder: Revenue trajectory chart - line chart 2026-2031 showing net sales ramp from $47M to $323M]  </w:t>
      </w:r>
    </w:p>
    <w:p>
      <w:pPr>
        <w:spacing w:before="120" w:after="160"/>
        <w:shd w:val="clear" w:color="auto" w:fill="E8F0F7"/>
      </w:pPr>
      <w:r>
        <w:rPr>
          <w:i/>
          <w:color w:val="2E6A96"/>
          <w:sz w:val="19"/>
        </w:rPr>
        <w:t xml:space="preserve">  [Screenshot placeholder: Patient funnel waterfall - 335M population funneling to 2,761 treated patients]  </w:t>
      </w:r>
    </w:p>
    <w:p>
      <w:r>
        <w:br w:type="page"/>
      </w:r>
    </w:p>
    <w:p>
      <w:pPr>
        <w:spacing w:before="280" w:after="120"/>
      </w:pPr>
      <w:r>
        <w:rPr>
          <w:b/>
          <w:color w:val="1A4F72"/>
          <w:sz w:val="34"/>
        </w:rPr>
        <w:t>8. Discovery Questions</w:t>
      </w:r>
    </w:p>
    <w:p>
      <w:pPr>
        <w:spacing w:before="80" w:after="80"/>
        <w:pBdr>
          <w:bottom w:val="single" w:sz="4" w:space="1" w:color="C9922A"/>
        </w:pBdr>
      </w:pPr>
    </w:p>
    <w:p>
      <w:pPr>
        <w:spacing w:after="80"/>
      </w:pPr>
      <w:r>
        <w:rPr>
          <w:color w:val="1A2C3D"/>
          <w:sz w:val="21"/>
        </w:rPr>
        <w:t>Use these questions in initial calls to qualify the opportunity and tailor your pitch.</w:t>
      </w:r>
    </w:p>
    <w:p>
      <w:pPr>
        <w:spacing w:before="160" w:after="80"/>
      </w:pPr>
      <w:r>
        <w:rPr>
          <w:b/>
          <w:color w:val="C9922A"/>
          <w:sz w:val="22"/>
        </w:rPr>
        <w:t>WORKFLOW &amp; PROCESS</w:t>
      </w:r>
    </w:p>
    <w:p>
      <w:pPr>
        <w:pStyle w:val="ListBullet"/>
        <w:spacing w:after="60"/>
      </w:pPr>
      <w:r>
        <w:rPr>
          <w:color w:val="1A2C3D"/>
          <w:sz w:val="21"/>
        </w:rPr>
        <w:t>How do you currently build your commercial forecasts: Excel, a licensed tool, or external consultants?</w:t>
      </w:r>
    </w:p>
    <w:p>
      <w:pPr>
        <w:pStyle w:val="ListBullet"/>
        <w:spacing w:after="60"/>
      </w:pPr>
      <w:r>
        <w:rPr>
          <w:color w:val="1A2C3D"/>
          <w:sz w:val="21"/>
        </w:rPr>
        <w:t>How long does a typical forecast cycle take from kickoff to final output?</w:t>
      </w:r>
    </w:p>
    <w:p>
      <w:pPr>
        <w:pStyle w:val="ListBullet"/>
        <w:spacing w:after="60"/>
      </w:pPr>
      <w:r>
        <w:rPr>
          <w:color w:val="1A2C3D"/>
          <w:sz w:val="21"/>
        </w:rPr>
        <w:t>Who owns the forecast model: one person, or is it a shared resource?</w:t>
      </w:r>
    </w:p>
    <w:p>
      <w:pPr>
        <w:pStyle w:val="ListBullet"/>
        <w:spacing w:after="60"/>
      </w:pPr>
      <w:r>
        <w:rPr>
          <w:color w:val="1A2C3D"/>
          <w:sz w:val="21"/>
        </w:rPr>
        <w:t>How many products or markets are you forecasting right now?</w:t>
      </w:r>
    </w:p>
    <w:p>
      <w:pPr>
        <w:spacing w:before="160" w:after="80"/>
      </w:pPr>
      <w:r>
        <w:rPr>
          <w:b/>
          <w:color w:val="C9922A"/>
          <w:sz w:val="22"/>
        </w:rPr>
        <w:t>PAIN POINTS</w:t>
      </w:r>
    </w:p>
    <w:p>
      <w:pPr>
        <w:pStyle w:val="ListBullet"/>
        <w:spacing w:after="60"/>
      </w:pPr>
      <w:r>
        <w:rPr>
          <w:color w:val="1A2C3D"/>
          <w:sz w:val="21"/>
        </w:rPr>
        <w:t>What slows you down the most in your current forecasting process?</w:t>
      </w:r>
    </w:p>
    <w:p>
      <w:pPr>
        <w:pStyle w:val="ListBullet"/>
        <w:spacing w:after="60"/>
      </w:pPr>
      <w:r>
        <w:rPr>
          <w:color w:val="1A2C3D"/>
          <w:sz w:val="21"/>
        </w:rPr>
        <w:t>When a senior leader asks "where did this number come from?", how easy is it to answer?</w:t>
      </w:r>
    </w:p>
    <w:p>
      <w:pPr>
        <w:pStyle w:val="ListBullet"/>
        <w:spacing w:after="60"/>
      </w:pPr>
      <w:r>
        <w:rPr>
          <w:color w:val="1A2C3D"/>
          <w:sz w:val="21"/>
        </w:rPr>
        <w:t>How do you currently handle scenario analysis: separate model files or in-tool?</w:t>
      </w:r>
    </w:p>
    <w:p>
      <w:pPr>
        <w:pStyle w:val="ListBullet"/>
        <w:spacing w:after="60"/>
      </w:pPr>
      <w:r>
        <w:rPr>
          <w:color w:val="1A2C3D"/>
          <w:sz w:val="21"/>
        </w:rPr>
        <w:t>How much analyst time goes into literature research versus actual modeling?</w:t>
      </w:r>
    </w:p>
    <w:p>
      <w:pPr>
        <w:spacing w:before="160" w:after="80"/>
      </w:pPr>
      <w:r>
        <w:rPr>
          <w:b/>
          <w:color w:val="C9922A"/>
          <w:sz w:val="22"/>
        </w:rPr>
        <w:t>STAKEHOLDERS &amp; DECISION</w:t>
      </w:r>
    </w:p>
    <w:p>
      <w:pPr>
        <w:pStyle w:val="ListBullet"/>
        <w:spacing w:after="60"/>
      </w:pPr>
      <w:r>
        <w:rPr>
          <w:color w:val="1A2C3D"/>
          <w:sz w:val="21"/>
        </w:rPr>
        <w:t>Who reviews and signs off on your forecast methodology?</w:t>
      </w:r>
    </w:p>
    <w:p>
      <w:pPr>
        <w:pStyle w:val="ListBullet"/>
        <w:spacing w:after="60"/>
      </w:pPr>
      <w:r>
        <w:rPr>
          <w:color w:val="1A2C3D"/>
          <w:sz w:val="21"/>
        </w:rPr>
        <w:t>Is this decision owned by commercial operations, finance, or another function?</w:t>
      </w:r>
    </w:p>
    <w:p>
      <w:pPr>
        <w:pStyle w:val="ListBullet"/>
        <w:spacing w:after="60"/>
      </w:pPr>
      <w:r>
        <w:rPr>
          <w:color w:val="1A2C3D"/>
          <w:sz w:val="21"/>
        </w:rPr>
        <w:t>Are you evaluating any other tools at the moment?</w:t>
      </w:r>
    </w:p>
    <w:p>
      <w:pPr>
        <w:pStyle w:val="ListBullet"/>
        <w:spacing w:after="60"/>
      </w:pPr>
      <w:r>
        <w:rPr>
          <w:color w:val="1A2C3D"/>
          <w:sz w:val="21"/>
        </w:rPr>
        <w:t>What does your ideal solution look like, and what would a successful POC prove?</w:t>
      </w:r>
    </w:p>
    <w:p>
      <w:r>
        <w:br w:type="page"/>
      </w:r>
    </w:p>
    <w:p>
      <w:pPr>
        <w:spacing w:before="280" w:after="120"/>
      </w:pPr>
      <w:r>
        <w:rPr>
          <w:b/>
          <w:color w:val="1A4F72"/>
          <w:sz w:val="34"/>
        </w:rPr>
        <w:t>9. Call to Action &amp; Closing Moves</w:t>
      </w:r>
    </w:p>
    <w:p>
      <w:pPr>
        <w:spacing w:before="80" w:after="80"/>
        <w:pBdr>
          <w:bottom w:val="single" w:sz="4" w:space="1" w:color="C9922A"/>
        </w:pBdr>
      </w:pPr>
    </w:p>
    <w:p>
      <w:pPr>
        <w:spacing w:before="160" w:after="40"/>
      </w:pPr>
      <w:r>
        <w:rPr>
          <w:b/>
          <w:color w:val="1A4F72"/>
          <w:sz w:val="22"/>
        </w:rPr>
        <w:t xml:space="preserve">Live Demo   </w:t>
      </w:r>
      <w:r>
        <w:rPr>
          <w:color w:val="1A2C3D"/>
          <w:sz w:val="21"/>
        </w:rPr>
        <w:t>30-minute live session using the prospect's own product and indication. Offer to pre-configure the funnel before the call for maximum impact.</w:t>
      </w:r>
    </w:p>
    <w:p>
      <w:pPr>
        <w:spacing w:before="160" w:after="40"/>
      </w:pPr>
      <w:r>
        <w:rPr>
          <w:b/>
          <w:color w:val="1A4F72"/>
          <w:sz w:val="22"/>
        </w:rPr>
        <w:t xml:space="preserve">2-Week POC   </w:t>
      </w:r>
      <w:r>
        <w:rPr>
          <w:color w:val="1A2C3D"/>
          <w:sz w:val="21"/>
        </w:rPr>
        <w:t>No-cost proof of concept on one active product. Define success criteria upfront: time saved vs. current workflow, assumption quality, AI chat usefulness.</w:t>
      </w:r>
    </w:p>
    <w:p>
      <w:pPr>
        <w:spacing w:before="160" w:after="40"/>
      </w:pPr>
      <w:r>
        <w:rPr>
          <w:b/>
          <w:color w:val="1A4F72"/>
          <w:sz w:val="22"/>
        </w:rPr>
        <w:t xml:space="preserve">Side-by-Side Comparison   </w:t>
      </w:r>
      <w:r>
        <w:rPr>
          <w:color w:val="1A2C3D"/>
          <w:sz w:val="21"/>
        </w:rPr>
        <w:t>Run Forecasting Accelerator in parallel with their current model on the same product. Compare outputs, time invested, and assumption documentation.</w:t>
      </w:r>
    </w:p>
    <w:p>
      <w:pPr>
        <w:spacing w:before="160" w:after="40"/>
      </w:pPr>
      <w:r>
        <w:rPr>
          <w:b/>
          <w:color w:val="1A4F72"/>
          <w:sz w:val="22"/>
        </w:rPr>
        <w:t xml:space="preserve">Stakeholder Briefing   </w:t>
      </w:r>
      <w:r>
        <w:rPr>
          <w:color w:val="1A2C3D"/>
          <w:sz w:val="21"/>
        </w:rPr>
        <w:t>Offer a 45-minute briefing for the VP/C-Suite sponsor covering ROI model, security architecture, and implementation timeline.</w:t>
      </w:r>
    </w:p>
    <w:p>
      <w:pPr>
        <w:spacing w:before="160" w:after="40"/>
      </w:pPr>
      <w:r>
        <w:rPr>
          <w:b/>
          <w:color w:val="1A4F72"/>
          <w:sz w:val="22"/>
        </w:rPr>
        <w:t xml:space="preserve">Reference Call   </w:t>
      </w:r>
      <w:r>
        <w:rPr>
          <w:color w:val="1A2C3D"/>
          <w:sz w:val="21"/>
        </w:rPr>
        <w:t>Connect the prospect with a reference customer in a similar therapeutic area or company size for peer validation.</w:t>
      </w:r>
    </w:p>
    <w:p>
      <w:pPr>
        <w:spacing w:before="80" w:after="80"/>
        <w:pBdr>
          <w:bottom w:val="single" w:sz="4" w:space="1" w:color="C9922A"/>
        </w:pBdr>
      </w:pPr>
    </w:p>
    <w:p>
      <w:pPr>
        <w:spacing w:before="400"/>
        <w:jc w:val="center"/>
      </w:pPr>
      <w:r>
        <w:rPr>
          <w:b/>
          <w:color w:val="1A4F72"/>
          <w:sz w:val="20"/>
        </w:rPr>
        <w:t>Chryselys Forecasting Accelerator  |  Built for Pharma Commercial Teams</w:t>
      </w:r>
    </w:p>
    <w:p>
      <w:pPr>
        <w:jc w:val="center"/>
      </w:pPr>
      <w:r>
        <w:rPr>
          <w:i/>
          <w:color w:val="4A6580"/>
          <w:sz w:val="18"/>
        </w:rPr>
        <w:t>Internal Use Only - Sales &amp; Business Development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