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sz w:val="38"/>
          <w:szCs w:val="38"/>
        </w:rPr>
      </w:pPr>
      <w:r w:rsidDel="00000000" w:rsidR="00000000" w:rsidRPr="00000000">
        <w:rPr>
          <w:rFonts w:ascii="Google Sans" w:cs="Google Sans" w:eastAsia="Google Sans" w:hAnsi="Google Sans"/>
          <w:color w:val="1f1f1f"/>
          <w:sz w:val="38"/>
          <w:szCs w:val="38"/>
          <w:rtl w:val="0"/>
        </w:rPr>
        <w:t xml:space="preserve">When Not to Trade: Liquidity-Aware Abstention for Intraday Nifty 50 ETF Trading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Sandeep Kumar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investigates whether a machine learning trading system can improve risk-adjusted performance by explicitly determining when a prediction is not economically viable to execute. Traditional quantitative models often focus solely on prediction accuracy, generating binary execution signals that ignore market friction. This study presents a 4-action decision controller (BUY, SELL, WAIT, REDUCE SIZE) that incorporates a prediction confidence filter and a volume-based liquidity proxy to size positions and filter trades. The system is trained using an XGBoost classifier on two years of hourly NIFTYBEES (Nifty 50 ETF) data. The out-of-sample backtest results demonstrate that the underlying machine learning model failed to produce a directional edge. However, the decision controller systematically filtered out signals, reducing total losses by approximately 48% and maximum drawdown by approximately 48% relative to the unrestricted strategy. While unprofitable overall, the results provide preliminary evidence that confidence-based abstention and liquidity-aware position sizing can reduce drawdown when applied to an underperforming directional model.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flaw in many algorithmic trading models is the assumption that market predictions should always be acted upon. In practice, marginal classification accuracy does not necessarily translate to profitable trading after transaction costs, slippage, and regime changes. This research pivots from the standard question of "Can machine learning predict the market?" to a more structural risk-management inquiry: "Even if a model produces a signal, does the system understand when it should abstain?" By connecting machine learning prediction confidence with a proxy for economic tradability, this project aims to create a decision-control system that preserves capital during unfavorable intraday market conditions.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Literature Review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quantitative literature highlights a significant gap between raw prediction accuracy and post-cost profitability, demonstrating that high-turnover anomalies are highly susceptible to capital erosion once real-world execution friction is applied (Novy-Marx &amp; Velikov, 2016). Explanation-aware trade filtering and "meta-labeling" to reject questionable trades have been shown to yield lower drawdowns and improved risk-adjusted performance on daily timeframes (López de Prado, 2018). Furthermore, trading volume has long been established as a primary determinant of market liquidity and execution efficiency (Chordia, Roll, &amp; Subrahmanyam, 2001). This project extends these concepts to intraday systematic trading (hourly intervals). It replaces standard binary execution with a confidence- and liquidity-aware decision controller to evaluate whether the risk mitigation benefits of gradient-boosted trees (Krauss, Do, &amp; Huck, 2017) persist in faster, noisier market environments.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Hypothesis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H₁ (Alternative):</w:t>
      </w:r>
      <w:r w:rsidDel="00000000" w:rsidR="00000000" w:rsidRPr="00000000">
        <w:rPr>
          <w:rFonts w:ascii="Google Sans" w:cs="Google Sans" w:eastAsia="Google Sans" w:hAnsi="Google Sans"/>
          <w:color w:val="1f1f1f"/>
          <w:rtl w:val="0"/>
        </w:rPr>
        <w:t xml:space="preserve"> A decision controller that abstains from low-confidence predictions and reduces exposure under low-volume conditions can reduce drawdown and capital losses relative to an unrestricted execution strategy, even when the underlying predictive model has weak directional performance.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H₀ (Null):</w:t>
      </w:r>
      <w:r w:rsidDel="00000000" w:rsidR="00000000" w:rsidRPr="00000000">
        <w:rPr>
          <w:rFonts w:ascii="Google Sans" w:cs="Google Sans" w:eastAsia="Google Sans" w:hAnsi="Google Sans"/>
          <w:color w:val="1f1f1f"/>
          <w:rtl w:val="0"/>
        </w:rPr>
        <w:t xml:space="preserve"> The decision controller does not provide a meaningful improvement over unrestricted execution or equivalent random exposure reduction.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Methodology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Data &amp; Target Definition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utilized 60-minute intraday data of the Nifty 50 ETF (NIFTYBEES.NS) spanning a two-year period. To prevent look-ahead bias, the data was split chronologically (80/20), yielding a 5-month out-of-sample testing period (March 30, 2026 – August 21, 2026).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was trained as a binary classifier aiming to predict the direction of the next hour's close. The target variable $y_t$ is defined 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$y_t = \begin{cases} 1 &amp; \text{if } \frac{Close_{t+1} - Close_t}{Close_t} &gt; 0 \\ 0 &amp; \text{otherwise} \end{cases}$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Execution Assumption &amp; Data Leakage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strict prevention of data leakage, all features at time $t$ were constructed using information available no later than the decision timestamp. A signal is generated at the candle close $t$, and the trade is executed at the $t+1$ open. A round-trip transaction-cost assumption of 0.05% was applied as a simplified execution-friction model. The benchmark Buy &amp; Hold return is calculated using the exact same start and end execution timestamps as the algorithmic strategies to ensure parity.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System Architecture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Predictive Model:</w:t>
      </w:r>
      <w:r w:rsidDel="00000000" w:rsidR="00000000" w:rsidRPr="00000000">
        <w:rPr>
          <w:rFonts w:ascii="Google Sans" w:cs="Google Sans" w:eastAsia="Google Sans" w:hAnsi="Google Sans"/>
          <w:color w:val="1f1f1f"/>
          <w:rtl w:val="0"/>
        </w:rPr>
        <w:t xml:space="preserve"> An XGBoost classifier trained on OHLC data, Average True Range (ATR), Relative Strength Index (RSI), absolute Volume, and a Relative Volume proxy.</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Prediction Confidence Filter:</w:t>
      </w:r>
      <w:r w:rsidDel="00000000" w:rsidR="00000000" w:rsidRPr="00000000">
        <w:rPr>
          <w:rFonts w:ascii="Google Sans" w:cs="Google Sans" w:eastAsia="Google Sans" w:hAnsi="Google Sans"/>
          <w:color w:val="1f1f1f"/>
          <w:rtl w:val="0"/>
        </w:rPr>
        <w:t xml:space="preserve"> A static probability threshold of 0.55. The 0.55 threshold was fixed prior to evaluating the out-of-sample test set to avoid threshold selection bias based on test-set performance.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Volume-Based Liquidity Proxy:</w:t>
      </w:r>
      <w:r w:rsidDel="00000000" w:rsidR="00000000" w:rsidRPr="00000000">
        <w:rPr>
          <w:rFonts w:ascii="Google Sans" w:cs="Google Sans" w:eastAsia="Google Sans" w:hAnsi="Google Sans"/>
          <w:color w:val="1f1f1f"/>
          <w:rtl w:val="0"/>
        </w:rPr>
        <w:t xml:space="preserve"> A 20-period moving average of volume ($MA_{20}$) was used as a volume-based liquidity proxy to gauge if market conditions could support trade execution.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Position Sizing &amp; Decision Controller Logic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programmatic routing system overrides the raw model to dynamically adjust the portfolio exposure using the following logic: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0000"/>
          <w:shd w:fill="141414" w:val="clear"/>
        </w:rPr>
      </w:pPr>
      <w:r w:rsidDel="00000000" w:rsidR="00000000" w:rsidRPr="00000000">
        <w:rPr>
          <w:rFonts w:ascii="Google Sans" w:cs="Google Sans" w:eastAsia="Google Sans" w:hAnsi="Google Sans"/>
          <w:color w:val="ff0000"/>
          <w:shd w:fill="141414" w:val="clear"/>
          <w:rtl w:val="0"/>
        </w:rPr>
        <w:t xml:space="preserve">Plaintext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ff0000"/>
          <w:shd w:fill="141414" w:val="clear"/>
        </w:rPr>
      </w:pPr>
      <w:r w:rsidDel="00000000" w:rsidR="00000000" w:rsidRPr="00000000">
        <w:rPr>
          <w:rFonts w:ascii="Google Sans" w:cs="Google Sans" w:eastAsia="Google Sans" w:hAnsi="Google Sans"/>
          <w:color w:val="ff0000"/>
          <w:shd w:fill="141414" w:val="clear"/>
          <w:rtl w:val="0"/>
        </w:rPr>
        <w:t xml:space="preserve">IF confidence &lt;= 0.55:</w:t>
        <w:br w:type="textWrapping"/>
        <w:t xml:space="preserve">    WAIT (Position Size = 0)</w:t>
        <w:br w:type="textWrapping"/>
        <w:t xml:space="preserve">ELSE IF Volume_t &gt; MA_20(Volume):</w:t>
        <w:br w:type="textWrapping"/>
        <w:t xml:space="preserve">    BUY / SELL (Position Size = 1.0)</w:t>
        <w:br w:type="textWrapping"/>
        <w:t xml:space="preserve">ELSE:</w:t>
        <w:br w:type="textWrapping"/>
        <w:t xml:space="preserve">    REDUCE SIZE (Position Size = 0.5)</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A trade is counted whenever the portfolio position changes from its previous bar-level exposure (e.g., transitioning from a 1.0 position to a 0.5 position constitutes a trade).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 and Discussion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Machine Learning Efficacy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chronological holdout test revealed a crucial distinction between machine learning classification accuracy and structural risk management. The baseline XGBoost classifier failed to establish a directional edge on the unseen test data. The model achieved an accuracy of only 49.13% and an ROC-AUC of 0.5066, failing to best a naive majority-class baseline (51.46%).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(Insert Figure 1: XGBoost Feature Importance Bar Chart)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importance analysis indicated that RSI and Volume were among the most influential features in the model's classifications.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Performance &amp; Controller Effectiveness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underlying classification predictions were fundamentally unreliable, the unconstrained "Always Trade" approach experienced severe capital degradation, performing significantly worse than the passive Buy &amp; Hold Benchmark.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1: Out-of-sample Performance Metrics on Unseen Test Data (March 2026 - August 2026)</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Strategy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Drawdown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Sharpe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Trades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Active-Bar Win 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Buy &amp; Hold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XGBoost (Always Trade)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 Full Decision Controller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31.29%</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Sharpe ratio was calculated from hourly returns and annualized using an assumption of 1,575 trading hours per year (6.25 hours/day × 252 days) with a 0% risk-free rate. Active-Bar Win Rate represents the percentage of active market intervals (bars) with a positive net return after transaction costs.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(Insert Figure 2: Line Graph of performance on Unseen Test Data)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equity curve illustrates, the Full Controller systematically filtered out model-generated trade signals by abstaining from the market (WAIT) or reducing exposure (REDUCE SIZE). The controller generated a higher absolute number of trades (442 vs. 311) due to the dynamic scaling between 0.5 and 1.0 position sizes, but successfully reduced overall market exposure to just 39.70%. While the controller strategy proved unprofitable overall, it significantly reduced the maximum drawdown of the unrestricted ML strategy.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Exposure-Matched Random Abstention Baseline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Decision Controller's risk-reduction was driven by intelligent filtering rather than just a reduction in market exposure, a Random Abstention baseline simulation was conducted. The random model was restricted to the exact same market exposure (39.70%) as the Controller.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Interpretation of the Random Baseline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random-abstention experiment provides an important qualification to the controller's performance. In this simulation, the Random Abstention baseline produced better capital preservation (-3.12%) than the Decision Controller (-14.58%) while maintaining the same 39.70% market exposure. Although the Decision Controller substantially reduced losses relative to unrestricted execution, it did not outperform an equivalent random exposure-reduction strategy. Therefore, the observed improvement cannot currently be attributed to superior identification of unfavorable signals. Instead, the evidence suggests that reducing market exposure was the dominant source of risk reduction in the current implementation.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tested experimental setting, the results indicate that confidence-based abstention and volume-based liquidity filtering can reduce portfolio exposure and drawdown when an underlying directional model performs poorly. Even with a directionally unprofitable predictive model, the filters reduced portfolio exposure to the losses generated by the underlying directional strategy. However, the controller did not generate positive returns, and the experiment does not establish that the framework generalizes across instruments, market regimes, or varying transaction-cost environments. Ultimately, this project highlights the potential value of explicitly modeling when a trading system should abstain, rather than assuming that every model prediction should result in an executed position.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and Future Work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limitation of this study is that the baseline model lacked predictive alpha. The inclusion of the random baseline provides evidence that the current iteration's risk reduction is driven more by exposure reduction than by demonstrably superior predictive interception.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work will prioritize: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Repeated Random-Abstention Analysis:</w:t>
      </w:r>
      <w:r w:rsidDel="00000000" w:rsidR="00000000" w:rsidRPr="00000000">
        <w:rPr>
          <w:rFonts w:ascii="Google Sans" w:cs="Google Sans" w:eastAsia="Google Sans" w:hAnsi="Google Sans"/>
          <w:color w:val="1f1f1f"/>
          <w:rtl w:val="0"/>
        </w:rPr>
        <w:t xml:space="preserve"> Running 1,000+ random exposure-matched simulations to establish a return and drawdown distribution (measuring mean, median, standard deviation, 5th/95th percentiles, and Sharpe distribution) to determine exactly where the controller lies relative to random exposure reduction.</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Probability Calibration:</w:t>
      </w:r>
      <w:r w:rsidDel="00000000" w:rsidR="00000000" w:rsidRPr="00000000">
        <w:rPr>
          <w:rFonts w:ascii="Google Sans" w:cs="Google Sans" w:eastAsia="Google Sans" w:hAnsi="Google Sans"/>
          <w:color w:val="1f1f1f"/>
          <w:rtl w:val="0"/>
        </w:rPr>
        <w:t xml:space="preserve"> Utilizing methods such as Platt scaling or isotonic regression to calibrate the XGBoost probabilities, evaluating whether calibrated probabilities improve abstention performance relative to the current controller and the random-abstention baseline.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Ablation Studies:</w:t>
      </w:r>
      <w:r w:rsidDel="00000000" w:rsidR="00000000" w:rsidRPr="00000000">
        <w:rPr>
          <w:rFonts w:ascii="Google Sans" w:cs="Google Sans" w:eastAsia="Google Sans" w:hAnsi="Google Sans"/>
          <w:color w:val="1f1f1f"/>
          <w:rtl w:val="0"/>
        </w:rPr>
        <w:t xml:space="preserve"> Isolating the independent effects of the confidence filter versus the liquidity proxy (e.g., Confidence-only vs. Liquidity-only vs. Combined Controller).</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Transaction-Cost Sensitivity:</w:t>
      </w:r>
      <w:r w:rsidDel="00000000" w:rsidR="00000000" w:rsidRPr="00000000">
        <w:rPr>
          <w:rFonts w:ascii="Google Sans" w:cs="Google Sans" w:eastAsia="Google Sans" w:hAnsi="Google Sans"/>
          <w:color w:val="1f1f1f"/>
          <w:rtl w:val="0"/>
        </w:rPr>
        <w:t xml:space="preserve"> Running cost sensitivity analyses (0%, 0.025%, 0.05%, 0.10%) to isolate friction decay across different market regimes.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Krauss, C., Do, X. A., &amp; Huck, N. (2017). Deep neural networks, gradient-boosted trees, random forests: Statistical arbitrage on the S&amp;P 500. </w:t>
      </w:r>
      <w:r w:rsidDel="00000000" w:rsidR="00000000" w:rsidRPr="00000000">
        <w:rPr>
          <w:rFonts w:ascii="Google Sans" w:cs="Google Sans" w:eastAsia="Google Sans" w:hAnsi="Google Sans"/>
          <w:i w:val="1"/>
          <w:iCs w:val="1"/>
          <w:color w:val="1f1f1f"/>
          <w:rtl w:val="0"/>
        </w:rPr>
        <w:t xml:space="preserve">European Journal of Operational Research</w:t>
      </w:r>
      <w:r w:rsidDel="00000000" w:rsidR="00000000" w:rsidRPr="00000000">
        <w:rPr>
          <w:rFonts w:ascii="Google Sans" w:cs="Google Sans" w:eastAsia="Google Sans" w:hAnsi="Google Sans"/>
          <w:color w:val="1f1f1f"/>
          <w:rtl w:val="0"/>
        </w:rPr>
        <w:t xml:space="preserve">, 259(2), 689-702.</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Novy-Marx, R., &amp; Velikov, M. (2016). A taxonomy of anomalies and their trading costs. </w:t>
      </w:r>
      <w:r w:rsidDel="00000000" w:rsidR="00000000" w:rsidRPr="00000000">
        <w:rPr>
          <w:rFonts w:ascii="Google Sans" w:cs="Google Sans" w:eastAsia="Google Sans" w:hAnsi="Google Sans"/>
          <w:i w:val="1"/>
          <w:iCs w:val="1"/>
          <w:color w:val="1f1f1f"/>
          <w:rtl w:val="0"/>
        </w:rPr>
        <w:t xml:space="preserve">The Review of Financial Studies</w:t>
      </w:r>
      <w:r w:rsidDel="00000000" w:rsidR="00000000" w:rsidRPr="00000000">
        <w:rPr>
          <w:rFonts w:ascii="Google Sans" w:cs="Google Sans" w:eastAsia="Google Sans" w:hAnsi="Google Sans"/>
          <w:color w:val="1f1f1f"/>
          <w:rtl w:val="0"/>
        </w:rPr>
        <w:t xml:space="preserve">, 29(1), 104-147.</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López de Prado, M. (2018). </w:t>
      </w:r>
      <w:r w:rsidDel="00000000" w:rsidR="00000000" w:rsidRPr="00000000">
        <w:rPr>
          <w:rFonts w:ascii="Google Sans" w:cs="Google Sans" w:eastAsia="Google Sans" w:hAnsi="Google Sans"/>
          <w:i w:val="1"/>
          <w:iCs w:val="1"/>
          <w:color w:val="1f1f1f"/>
          <w:rtl w:val="0"/>
        </w:rPr>
        <w:t xml:space="preserve">Advances in Financial Machine Learning</w:t>
      </w:r>
      <w:r w:rsidDel="00000000" w:rsidR="00000000" w:rsidRPr="00000000">
        <w:rPr>
          <w:rFonts w:ascii="Google Sans" w:cs="Google Sans" w:eastAsia="Google Sans" w:hAnsi="Google Sans"/>
          <w:color w:val="1f1f1f"/>
          <w:rtl w:val="0"/>
        </w:rPr>
        <w:t xml:space="preserve">. John Wiley &amp; Sons.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Chordia, T., Roll, R., &amp; Subrahmanyam, A. (2001). Market liquidity and trading activity. </w:t>
      </w:r>
      <w:r w:rsidDel="00000000" w:rsidR="00000000" w:rsidRPr="00000000">
        <w:rPr>
          <w:rFonts w:ascii="Google Sans" w:cs="Google Sans" w:eastAsia="Google Sans" w:hAnsi="Google Sans"/>
          <w:i w:val="1"/>
          <w:iCs w:val="1"/>
          <w:color w:val="1f1f1f"/>
          <w:rtl w:val="0"/>
        </w:rPr>
        <w:t xml:space="preserve">The Journal of Finance</w:t>
      </w:r>
      <w:r w:rsidDel="00000000" w:rsidR="00000000" w:rsidRPr="00000000">
        <w:rPr>
          <w:rFonts w:ascii="Google Sans" w:cs="Google Sans" w:eastAsia="Google Sans" w:hAnsi="Google Sans"/>
          <w:color w:val="1f1f1f"/>
          <w:rtl w:val="0"/>
        </w:rPr>
        <w:t xml:space="preserve">, 56(2), 501-530.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213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Fonts w:ascii="Google Sans" w:cs="Google Sans" w:eastAsia="Google Sans" w:hAnsi="Google Sans"/>
          <w:color w:val="1f1f1f"/>
        </w:rPr>
        <w:drawing>
          <wp:inline distB="114300" distT="114300" distL="114300" distR="114300">
            <wp:extent cx="5943600" cy="345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