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Agentic AI Is Rewriting the PMO Playbook</w:t>
      </w:r>
    </w:p>
    <w:p>
      <w:r>
        <w:t xml:space="preserve">Tags: AI, Project Management</w:t>
      </w:r>
    </w:p>
    <w:p>
      <w:r>
        <w:t xml:space="preserve">Series: Surabhi's Slate</w:t>
      </w:r>
    </w:p>
    <w:p>
      <w:r>
        <w:t xml:space="preserve">The biggest project management story of 2026 isn't a new methodology. It's autonomy. Analysts now point to </w:t>
      </w:r>
      <w:r>
        <w:rPr>
          <w:b/>
          <w:bCs/>
        </w:rPr>
        <w:t xml:space="preserve">agentic AI</w:t>
      </w:r>
      <w:r>
        <w:t xml:space="preserve"> as the defining trend of the year, meaning systems that don't just surface a dashboard, but autonomously identify resource bottlenecks, comb through project repositories, and trigger self-correction protocols the moment a project drifts from its baseline plan.</w:t>
      </w:r>
    </w:p>
    <w:p>
      <w:r>
        <w:t xml:space="preserve">This matters because it changes what a PMO is for. The market backing this shift is real too. Project management software is projected to grow from </w:t>
      </w:r>
      <w:r>
        <w:rPr>
          <w:b/>
          <w:bCs/>
        </w:rPr>
        <w:t xml:space="preserve">$9.76 billion in 2025 to $11.27 billion in 2026</w:t>
      </w:r>
      <w:r>
        <w:t xml:space="preserve">, a 15.42% compound annual growth rate, and leading PMOs are expected to move beyond status reporting to become the enablement layer connecting strategy to execution as these autonomous systems get deployed. For delivery leaders, the open question is less “should we adopt this” and more “who audits the agent when it decides to re-baseline a project on its own.”</w:t>
      </w:r>
    </w:p>
    <w:p>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04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0d53c88d879658634f7b4c0a401abab655a6f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2026-09-21T16:00:17.873Z</dcterms:created>
  <dcterms:modified xsi:type="dcterms:W3CDTF">2026-09-21T16:00:17.874Z</dcterms:modified>
</cp:coreProperties>
</file>

<file path=docProps/custom.xml><?xml version="1.0" encoding="utf-8"?>
<Properties xmlns="http://schemas.openxmlformats.org/officeDocument/2006/custom-properties" xmlns:vt="http://schemas.openxmlformats.org/officeDocument/2006/docPropsVTypes"/>
</file>