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8181B"/>
          <w:sz w:val="72"/>
          <w:szCs w:val="72"/>
        </w:rPr>
        <w:t xml:space="preserve">EduBase</w:t>
      </w:r>
    </w:p>
    <w:p>
      <w:pPr>
        <w:spacing w:after="60"/>
        <w:jc w:val="center"/>
      </w:pPr>
      <w:r>
        <w:rPr>
          <w:color w:val="4F46E5"/>
          <w:sz w:val="30"/>
          <w:szCs w:val="30"/>
        </w:rPr>
        <w:t xml:space="preserve">AI-Powered Digital Twin of a University</w:t>
      </w:r>
    </w:p>
    <w:p>
      <w:pPr>
        <w:spacing w:after="40"/>
        <w:jc w:val="center"/>
      </w:pPr>
      <w:r>
        <w:rPr>
          <w:color w:val="71717A"/>
          <w:sz w:val="24"/>
          <w:szCs w:val="24"/>
        </w:rPr>
        <w:t xml:space="preserve">System Design &amp; Logic</w:t>
      </w:r>
    </w:p>
    <w:p>
      <w:pPr>
        <w:jc w:val="center"/>
      </w:pPr>
      <w:r>
        <w:rPr>
          <w:i/>
          <w:iCs/>
          <w:color w:val="71717A"/>
          <w:sz w:val="18"/>
          <w:szCs w:val="18"/>
        </w:rPr>
        <w:t xml:space="preserve">github.com/sandeepmk2006/universit_digital_twin</w:t>
      </w:r>
    </w:p>
    <w:p>
      <w:r>
        <w:br w:type="page"/>
      </w:r>
    </w:p>
    <w:p>
      <w:pPr>
        <w:pStyle w:val="Heading1"/>
        <w:spacing w:after="140" w:before="320"/>
      </w:pPr>
      <w:bookmarkStart w:name="_Toc1" w:id="1"/>
      <w:r>
        <w:rPr>
          <w:b/>
          <w:bCs/>
          <w:color w:val="18181B"/>
        </w:rPr>
        <w:t xml:space="preserve">Contents</w:t>
      </w:r>
      <w:bookmarkEnd w:id="1"/>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Overview</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Architecture</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3. Data Model</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Invariants enforced by the database</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4. Access Control and Roles</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5. Reporting and Performance</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6. Intelligence Logic</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6.1 Performance prediction</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6.2 Elective recommendation</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6.3 Placement preparation</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6.4 Classroom allocation</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6.5 Campus assistant</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7. Realistic Seed Data</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8. Web Application Behaviour</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9. Running the System</w:t>
            </w:r>
            <w:r>
              <w:tab/>
            </w:r>
            <w:r>
              <w:fldChar w:fldCharType="begin" w:dirty="true"/>
              <w:instrText xml:space="preserve">PAGEREF _Toc16 \h</w:instrText>
              <w:fldChar w:fldCharType="separate"/>
              <w:fldChar w:fldCharType="end"/>
            </w:r>
          </w:hyperlink>
        </w:p>
        <w:p>
          <w:r>
            <w:fldChar w:fldCharType="end"/>
          </w:r>
        </w:p>
      </w:sdtContent>
    </w:sdt>
    <w:p>
      <w:r>
        <w:br w:type="page"/>
      </w:r>
    </w:p>
    <w:p>
      <w:pPr>
        <w:pStyle w:val="Heading1"/>
        <w:spacing w:after="140" w:before="320"/>
      </w:pPr>
      <w:bookmarkStart w:name="_Toc2" w:id="2"/>
      <w:r>
        <w:rPr>
          <w:b/>
          <w:bCs/>
          <w:color w:val="18181B"/>
        </w:rPr>
        <w:t xml:space="preserve">1. Overview</w:t>
      </w:r>
      <w:bookmarkEnd w:id="2"/>
    </w:p>
    <w:p>
      <w:pPr>
        <w:spacing w:after="120" w:line="276"/>
      </w:pPr>
      <w:r>
        <w:rPr>
          <w:color w:val="18181B"/>
        </w:rPr>
        <w:t xml:space="preserve">EduBase is a single interconnected system that models an entire university as one live database. Every student, faculty member, classroom, lab, hostel, bus, placement activity, attendance record, event, examination and resource exists in one place, and a layer of intelligence runs on top of it.</w:t>
      </w:r>
    </w:p>
    <w:p>
      <w:pPr>
        <w:spacing w:after="120" w:line="276"/>
      </w:pPr>
      <w:r>
        <w:rPr>
          <w:color w:val="18181B"/>
        </w:rPr>
        <w:t xml:space="preserve">The system delivers the five AI capabilities set out in the brief:</w:t>
      </w:r>
    </w:p>
    <w:p>
      <w:pPr>
        <w:pStyle w:val="ListParagraph"/>
        <w:numPr>
          <w:ilvl w:val="0"/>
          <w:numId w:val="2"/>
        </w:numPr>
        <w:spacing w:after="60" w:line="268"/>
      </w:pPr>
      <w:r>
        <w:rPr>
          <w:color w:val="18181B"/>
        </w:rPr>
        <w:t xml:space="preserve">Predict student performance and flag students at risk.</w:t>
      </w:r>
    </w:p>
    <w:p>
      <w:pPr>
        <w:pStyle w:val="ListParagraph"/>
        <w:numPr>
          <w:ilvl w:val="0"/>
          <w:numId w:val="2"/>
        </w:numPr>
        <w:spacing w:after="60" w:line="268"/>
      </w:pPr>
      <w:r>
        <w:rPr>
          <w:color w:val="18181B"/>
        </w:rPr>
        <w:t xml:space="preserve">Recommend electives suited to each student.</w:t>
      </w:r>
    </w:p>
    <w:p>
      <w:pPr>
        <w:pStyle w:val="ListParagraph"/>
        <w:numPr>
          <w:ilvl w:val="0"/>
          <w:numId w:val="2"/>
        </w:numPr>
        <w:spacing w:after="60" w:line="268"/>
      </w:pPr>
      <w:r>
        <w:rPr>
          <w:color w:val="18181B"/>
        </w:rPr>
        <w:t xml:space="preserve">Suggest placement preparation from each student's skill gaps.</w:t>
      </w:r>
    </w:p>
    <w:p>
      <w:pPr>
        <w:pStyle w:val="ListParagraph"/>
        <w:numPr>
          <w:ilvl w:val="0"/>
          <w:numId w:val="2"/>
        </w:numPr>
        <w:spacing w:after="60" w:line="268"/>
      </w:pPr>
      <w:r>
        <w:rPr>
          <w:color w:val="18181B"/>
        </w:rPr>
        <w:t xml:space="preserve">Optimize classroom allocation with a constraint solver.</w:t>
      </w:r>
    </w:p>
    <w:p>
      <w:pPr>
        <w:pStyle w:val="ListParagraph"/>
        <w:numPr>
          <w:ilvl w:val="0"/>
          <w:numId w:val="2"/>
        </w:numPr>
        <w:spacing w:after="60" w:line="268"/>
      </w:pPr>
      <w:r>
        <w:rPr>
          <w:color w:val="18181B"/>
        </w:rPr>
        <w:t xml:space="preserve">Answer campus questions through a chat assistant grounded in the same data.</w:t>
      </w:r>
    </w:p>
    <w:p>
      <w:pPr>
        <w:pStyle w:val="Heading1"/>
        <w:spacing w:after="140" w:before="320"/>
      </w:pPr>
      <w:bookmarkStart w:name="_Toc3" w:id="3"/>
      <w:r>
        <w:rPr>
          <w:b/>
          <w:bCs/>
          <w:color w:val="18181B"/>
        </w:rPr>
        <w:t xml:space="preserve">2. Architecture</w:t>
      </w:r>
      <w:bookmarkEnd w:id="3"/>
    </w:p>
    <w:p>
      <w:pPr>
        <w:spacing w:after="120" w:line="276"/>
      </w:pPr>
      <w:r>
        <w:rPr>
          <w:color w:val="18181B"/>
        </w:rPr>
        <w:t xml:space="preserve">Three layers sit over one Postgres database on Supabase. The database is the single source of truth and enforces security itself, so every layer above inherits the same guarantees.</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1700"/>
        <w:gridCol w:w="3360"/>
        <w:gridCol w:w="4300"/>
      </w:tblGrid>
      <w:tr>
        <w:trPr>
          <w:tblHeader/>
        </w:trPr>
        <w:tc>
          <w:tcPr>
            <w:tcW w:type="dxa" w:w="1700"/>
            <w:shd w:fill="F4F4F5" w:color="auto" w:val="clear"/>
            <w:tcMar>
              <w:top w:type="dxa" w:w="60"/>
              <w:left w:type="dxa" w:w="110"/>
              <w:bottom w:type="dxa" w:w="60"/>
              <w:right w:type="dxa" w:w="110"/>
            </w:tcMar>
          </w:tcPr>
          <w:p>
            <w:r>
              <w:rPr>
                <w:b/>
                <w:bCs/>
                <w:color w:val="18181B"/>
                <w:sz w:val="19"/>
                <w:szCs w:val="19"/>
              </w:rPr>
              <w:t xml:space="preserve">Layer</w:t>
            </w:r>
          </w:p>
        </w:tc>
        <w:tc>
          <w:tcPr>
            <w:tcW w:type="dxa" w:w="3360"/>
            <w:shd w:fill="F4F4F5" w:color="auto" w:val="clear"/>
            <w:tcMar>
              <w:top w:type="dxa" w:w="60"/>
              <w:left w:type="dxa" w:w="110"/>
              <w:bottom w:type="dxa" w:w="60"/>
              <w:right w:type="dxa" w:w="110"/>
            </w:tcMar>
          </w:tcPr>
          <w:p>
            <w:r>
              <w:rPr>
                <w:b/>
                <w:bCs/>
                <w:color w:val="18181B"/>
                <w:sz w:val="19"/>
                <w:szCs w:val="19"/>
              </w:rPr>
              <w:t xml:space="preserve">Technology</w:t>
            </w:r>
          </w:p>
        </w:tc>
        <w:tc>
          <w:tcPr>
            <w:tcW w:type="dxa" w:w="4300"/>
            <w:shd w:fill="F4F4F5" w:color="auto" w:val="clear"/>
            <w:tcMar>
              <w:top w:type="dxa" w:w="60"/>
              <w:left w:type="dxa" w:w="110"/>
              <w:bottom w:type="dxa" w:w="60"/>
              <w:right w:type="dxa" w:w="110"/>
            </w:tcMar>
          </w:tcPr>
          <w:p>
            <w:r>
              <w:rPr>
                <w:b/>
                <w:bCs/>
                <w:color w:val="18181B"/>
                <w:sz w:val="19"/>
                <w:szCs w:val="19"/>
              </w:rPr>
              <w:t xml:space="preserve">Responsibility</w:t>
            </w:r>
          </w:p>
        </w:tc>
      </w:tr>
      <w:tr>
        <w:tc>
          <w:tcPr>
            <w:tcW w:type="dxa" w:w="1700"/>
            <w:tcMar>
              <w:top w:type="dxa" w:w="60"/>
              <w:left w:type="dxa" w:w="110"/>
              <w:bottom w:type="dxa" w:w="60"/>
              <w:right w:type="dxa" w:w="110"/>
            </w:tcMar>
          </w:tcPr>
          <w:p>
            <w:r>
              <w:rPr>
                <w:color w:val="18181B"/>
                <w:sz w:val="19"/>
                <w:szCs w:val="19"/>
              </w:rPr>
              <w:t xml:space="preserve">Database</w:t>
            </w:r>
          </w:p>
        </w:tc>
        <w:tc>
          <w:tcPr>
            <w:tcW w:type="dxa" w:w="3360"/>
            <w:tcMar>
              <w:top w:type="dxa" w:w="60"/>
              <w:left w:type="dxa" w:w="110"/>
              <w:bottom w:type="dxa" w:w="60"/>
              <w:right w:type="dxa" w:w="110"/>
            </w:tcMar>
          </w:tcPr>
          <w:p>
            <w:r>
              <w:rPr>
                <w:color w:val="18181B"/>
                <w:sz w:val="19"/>
                <w:szCs w:val="19"/>
              </w:rPr>
              <w:t xml:space="preserve">Supabase Postgres, Row-Level Security, pgvector, pg_cron</w:t>
            </w:r>
          </w:p>
        </w:tc>
        <w:tc>
          <w:tcPr>
            <w:tcW w:type="dxa" w:w="4300"/>
            <w:tcMar>
              <w:top w:type="dxa" w:w="60"/>
              <w:left w:type="dxa" w:w="110"/>
              <w:bottom w:type="dxa" w:w="60"/>
              <w:right w:type="dxa" w:w="110"/>
            </w:tcMar>
          </w:tcPr>
          <w:p>
            <w:r>
              <w:rPr>
                <w:color w:val="18181B"/>
                <w:sz w:val="19"/>
                <w:szCs w:val="19"/>
              </w:rPr>
              <w:t xml:space="preserve">Stores all records; enforces per-role access; keeps a precomputed attendance roll-up.</w:t>
            </w:r>
          </w:p>
        </w:tc>
      </w:tr>
      <w:tr>
        <w:tc>
          <w:tcPr>
            <w:tcW w:type="dxa" w:w="1700"/>
            <w:tcMar>
              <w:top w:type="dxa" w:w="60"/>
              <w:left w:type="dxa" w:w="110"/>
              <w:bottom w:type="dxa" w:w="60"/>
              <w:right w:type="dxa" w:w="110"/>
            </w:tcMar>
          </w:tcPr>
          <w:p>
            <w:r>
              <w:rPr>
                <w:color w:val="18181B"/>
                <w:sz w:val="19"/>
                <w:szCs w:val="19"/>
              </w:rPr>
              <w:t xml:space="preserve">Web app</w:t>
            </w:r>
          </w:p>
        </w:tc>
        <w:tc>
          <w:tcPr>
            <w:tcW w:type="dxa" w:w="3360"/>
            <w:tcMar>
              <w:top w:type="dxa" w:w="60"/>
              <w:left w:type="dxa" w:w="110"/>
              <w:bottom w:type="dxa" w:w="60"/>
              <w:right w:type="dxa" w:w="110"/>
            </w:tcMar>
          </w:tcPr>
          <w:p>
            <w:r>
              <w:rPr>
                <w:color w:val="18181B"/>
                <w:sz w:val="19"/>
                <w:szCs w:val="19"/>
              </w:rPr>
              <w:t xml:space="preserve">Next.js 15 (App Router), TypeScript, Tailwind, @supabase/ssr</w:t>
            </w:r>
          </w:p>
        </w:tc>
        <w:tc>
          <w:tcPr>
            <w:tcW w:type="dxa" w:w="4300"/>
            <w:tcMar>
              <w:top w:type="dxa" w:w="60"/>
              <w:left w:type="dxa" w:w="110"/>
              <w:bottom w:type="dxa" w:w="60"/>
              <w:right w:type="dxa" w:w="110"/>
            </w:tcMar>
          </w:tcPr>
          <w:p>
            <w:r>
              <w:rPr>
                <w:color w:val="18181B"/>
                <w:sz w:val="19"/>
                <w:szCs w:val="19"/>
              </w:rPr>
              <w:t xml:space="preserve">Role-aware dashboards and record pages; server-rendered reads.</w:t>
            </w:r>
          </w:p>
        </w:tc>
      </w:tr>
      <w:tr>
        <w:tc>
          <w:tcPr>
            <w:tcW w:type="dxa" w:w="1700"/>
            <w:tcMar>
              <w:top w:type="dxa" w:w="60"/>
              <w:left w:type="dxa" w:w="110"/>
              <w:bottom w:type="dxa" w:w="60"/>
              <w:right w:type="dxa" w:w="110"/>
            </w:tcMar>
          </w:tcPr>
          <w:p>
            <w:r>
              <w:rPr>
                <w:color w:val="18181B"/>
                <w:sz w:val="19"/>
                <w:szCs w:val="19"/>
              </w:rPr>
              <w:t xml:space="preserve">Intelligence</w:t>
            </w:r>
          </w:p>
        </w:tc>
        <w:tc>
          <w:tcPr>
            <w:tcW w:type="dxa" w:w="3360"/>
            <w:tcMar>
              <w:top w:type="dxa" w:w="60"/>
              <w:left w:type="dxa" w:w="110"/>
              <w:bottom w:type="dxa" w:w="60"/>
              <w:right w:type="dxa" w:w="110"/>
            </w:tcMar>
          </w:tcPr>
          <w:p>
            <w:r>
              <w:rPr>
                <w:color w:val="18181B"/>
                <w:sz w:val="19"/>
                <w:szCs w:val="19"/>
              </w:rPr>
              <w:t xml:space="preserve">Python, FastAPI, scikit-learn, OR-Tools, Anthropic SDK</w:t>
            </w:r>
          </w:p>
        </w:tc>
        <w:tc>
          <w:tcPr>
            <w:tcW w:type="dxa" w:w="4300"/>
            <w:tcMar>
              <w:top w:type="dxa" w:w="60"/>
              <w:left w:type="dxa" w:w="110"/>
              <w:bottom w:type="dxa" w:w="60"/>
              <w:right w:type="dxa" w:w="110"/>
            </w:tcMar>
          </w:tcPr>
          <w:p>
            <w:r>
              <w:rPr>
                <w:color w:val="18181B"/>
                <w:sz w:val="19"/>
                <w:szCs w:val="19"/>
              </w:rPr>
              <w:t xml:space="preserve">Performance model, recommenders, room-allocation solver, chat assistant.</w:t>
            </w:r>
          </w:p>
        </w:tc>
      </w:tr>
    </w:tbl>
    <w:p>
      <w:pPr>
        <w:spacing w:after="80"/>
      </w:pPr>
    </w:p>
    <w:p>
      <w:pPr>
        <w:spacing w:after="120" w:line="276"/>
      </w:pPr>
      <w:r>
        <w:rPr>
          <w:i/>
          <w:iCs/>
          <w:color w:val="18181B"/>
        </w:rPr>
        <w:t xml:space="preserve">Data flow: the browser talks to the Next.js server, which reads Supabase directly for all record and dashboard pages. Two features (the assistant and room allocation) call the Python service, which reads the same database. The assistant forwards the signed-in user's Supabase token so it only ever sees that user's own rows.</w:t>
      </w:r>
    </w:p>
    <w:p>
      <w:pPr>
        <w:pStyle w:val="Heading1"/>
        <w:spacing w:after="140" w:before="320"/>
      </w:pPr>
      <w:bookmarkStart w:name="_Toc4" w:id="4"/>
      <w:r>
        <w:rPr>
          <w:b/>
          <w:bCs/>
          <w:color w:val="18181B"/>
        </w:rPr>
        <w:t xml:space="preserve">3. Data Model</w:t>
      </w:r>
      <w:bookmarkEnd w:id="4"/>
    </w:p>
    <w:p>
      <w:pPr>
        <w:spacing w:after="120" w:line="276"/>
      </w:pPr>
      <w:r>
        <w:rPr>
          <w:color w:val="18181B"/>
        </w:rPr>
        <w:t xml:space="preserve">62 tables in six groups. Everything hangs off a few shared entities — profiles (one per login), students, faculty, departments, courses and rooms — so any record can be traced to the people and places it involves.</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1700"/>
        <w:gridCol w:w="7660"/>
      </w:tblGrid>
      <w:tr>
        <w:trPr>
          <w:tblHeader/>
        </w:trPr>
        <w:tc>
          <w:tcPr>
            <w:tcW w:type="dxa" w:w="1700"/>
            <w:shd w:fill="F4F4F5" w:color="auto" w:val="clear"/>
            <w:tcMar>
              <w:top w:type="dxa" w:w="60"/>
              <w:left w:type="dxa" w:w="110"/>
              <w:bottom w:type="dxa" w:w="60"/>
              <w:right w:type="dxa" w:w="110"/>
            </w:tcMar>
          </w:tcPr>
          <w:p>
            <w:r>
              <w:rPr>
                <w:b/>
                <w:bCs/>
                <w:color w:val="18181B"/>
                <w:sz w:val="19"/>
                <w:szCs w:val="19"/>
              </w:rPr>
              <w:t xml:space="preserve">Area</w:t>
            </w:r>
          </w:p>
        </w:tc>
        <w:tc>
          <w:tcPr>
            <w:tcW w:type="dxa" w:w="7660"/>
            <w:shd w:fill="F4F4F5" w:color="auto" w:val="clear"/>
            <w:tcMar>
              <w:top w:type="dxa" w:w="60"/>
              <w:left w:type="dxa" w:w="110"/>
              <w:bottom w:type="dxa" w:w="60"/>
              <w:right w:type="dxa" w:w="110"/>
            </w:tcMar>
          </w:tcPr>
          <w:p>
            <w:r>
              <w:rPr>
                <w:b/>
                <w:bCs/>
                <w:color w:val="18181B"/>
                <w:sz w:val="19"/>
                <w:szCs w:val="19"/>
              </w:rPr>
              <w:t xml:space="preserve">Key tables</w:t>
            </w:r>
          </w:p>
        </w:tc>
      </w:tr>
      <w:tr>
        <w:tc>
          <w:tcPr>
            <w:tcW w:type="dxa" w:w="1700"/>
            <w:tcMar>
              <w:top w:type="dxa" w:w="60"/>
              <w:left w:type="dxa" w:w="110"/>
              <w:bottom w:type="dxa" w:w="60"/>
              <w:right w:type="dxa" w:w="110"/>
            </w:tcMar>
          </w:tcPr>
          <w:p>
            <w:r>
              <w:rPr>
                <w:color w:val="18181B"/>
                <w:sz w:val="19"/>
                <w:szCs w:val="19"/>
              </w:rPr>
              <w:t xml:space="preserve">Identity</w:t>
            </w:r>
          </w:p>
        </w:tc>
        <w:tc>
          <w:tcPr>
            <w:tcW w:type="dxa" w:w="7660"/>
            <w:tcMar>
              <w:top w:type="dxa" w:w="60"/>
              <w:left w:type="dxa" w:w="110"/>
              <w:bottom w:type="dxa" w:w="60"/>
              <w:right w:type="dxa" w:w="110"/>
            </w:tcMar>
          </w:tcPr>
          <w:p>
            <w:r>
              <w:rPr>
                <w:color w:val="18181B"/>
                <w:sz w:val="19"/>
                <w:szCs w:val="19"/>
              </w:rPr>
              <w:t xml:space="preserve">profiles, students, guardians, faculty, alumni, applicants</w:t>
            </w:r>
          </w:p>
        </w:tc>
      </w:tr>
      <w:tr>
        <w:tc>
          <w:tcPr>
            <w:tcW w:type="dxa" w:w="1700"/>
            <w:tcMar>
              <w:top w:type="dxa" w:w="60"/>
              <w:left w:type="dxa" w:w="110"/>
              <w:bottom w:type="dxa" w:w="60"/>
              <w:right w:type="dxa" w:w="110"/>
            </w:tcMar>
          </w:tcPr>
          <w:p>
            <w:r>
              <w:rPr>
                <w:color w:val="18181B"/>
                <w:sz w:val="19"/>
                <w:szCs w:val="19"/>
              </w:rPr>
              <w:t xml:space="preserve">Academics</w:t>
            </w:r>
          </w:p>
        </w:tc>
        <w:tc>
          <w:tcPr>
            <w:tcW w:type="dxa" w:w="7660"/>
            <w:tcMar>
              <w:top w:type="dxa" w:w="60"/>
              <w:left w:type="dxa" w:w="110"/>
              <w:bottom w:type="dxa" w:w="60"/>
              <w:right w:type="dxa" w:w="110"/>
            </w:tcMar>
          </w:tcPr>
          <w:p>
            <w:r>
              <w:rPr>
                <w:color w:val="18181B"/>
                <w:sz w:val="19"/>
                <w:szCs w:val="19"/>
              </w:rPr>
              <w:t xml:space="preserve">academic_terms, courses, course_sections, enrollments, timetable_slots, attendance_sessions, attendance_records, exams, marks</w:t>
            </w:r>
          </w:p>
        </w:tc>
      </w:tr>
      <w:tr>
        <w:tc>
          <w:tcPr>
            <w:tcW w:type="dxa" w:w="1700"/>
            <w:tcMar>
              <w:top w:type="dxa" w:w="60"/>
              <w:left w:type="dxa" w:w="110"/>
              <w:bottom w:type="dxa" w:w="60"/>
              <w:right w:type="dxa" w:w="110"/>
            </w:tcMar>
          </w:tcPr>
          <w:p>
            <w:r>
              <w:rPr>
                <w:color w:val="18181B"/>
                <w:sz w:val="19"/>
                <w:szCs w:val="19"/>
              </w:rPr>
              <w:t xml:space="preserve">Campus</w:t>
            </w:r>
          </w:p>
        </w:tc>
        <w:tc>
          <w:tcPr>
            <w:tcW w:type="dxa" w:w="7660"/>
            <w:tcMar>
              <w:top w:type="dxa" w:w="60"/>
              <w:left w:type="dxa" w:w="110"/>
              <w:bottom w:type="dxa" w:w="60"/>
              <w:right w:type="dxa" w:w="110"/>
            </w:tcMar>
          </w:tcPr>
          <w:p>
            <w:r>
              <w:rPr>
                <w:color w:val="18181B"/>
                <w:sz w:val="19"/>
                <w:szCs w:val="19"/>
              </w:rPr>
              <w:t xml:space="preserve">buildings, rooms, hostels, hostel_rooms, hostel_allocations, books, book_copies, book_loans, bus_routes, bus_stops, buses, bus_passes, clubs, events, sports_facilities, medical_visits, visitors</w:t>
            </w:r>
          </w:p>
        </w:tc>
      </w:tr>
      <w:tr>
        <w:tc>
          <w:tcPr>
            <w:tcW w:type="dxa" w:w="1700"/>
            <w:tcMar>
              <w:top w:type="dxa" w:w="60"/>
              <w:left w:type="dxa" w:w="110"/>
              <w:bottom w:type="dxa" w:w="60"/>
              <w:right w:type="dxa" w:w="110"/>
            </w:tcMar>
          </w:tcPr>
          <w:p>
            <w:r>
              <w:rPr>
                <w:color w:val="18181B"/>
                <w:sz w:val="19"/>
                <w:szCs w:val="19"/>
              </w:rPr>
              <w:t xml:space="preserve">Administration</w:t>
            </w:r>
          </w:p>
        </w:tc>
        <w:tc>
          <w:tcPr>
            <w:tcW w:type="dxa" w:w="7660"/>
            <w:tcMar>
              <w:top w:type="dxa" w:w="60"/>
              <w:left w:type="dxa" w:w="110"/>
              <w:bottom w:type="dxa" w:w="60"/>
              <w:right w:type="dxa" w:w="110"/>
            </w:tcMar>
          </w:tcPr>
          <w:p>
            <w:r>
              <w:rPr>
                <w:color w:val="18181B"/>
                <w:sz w:val="19"/>
                <w:szCs w:val="19"/>
              </w:rPr>
              <w:t xml:space="preserve">fee_structures, invoices, payments, scholarships, expenses, inventory_items, placement_drives, placement_applications, placement_offers, research_projects, publications, grievances, feedback_forms</w:t>
            </w:r>
          </w:p>
        </w:tc>
      </w:tr>
      <w:tr>
        <w:tc>
          <w:tcPr>
            <w:tcW w:type="dxa" w:w="1700"/>
            <w:tcMar>
              <w:top w:type="dxa" w:w="60"/>
              <w:left w:type="dxa" w:w="110"/>
              <w:bottom w:type="dxa" w:w="60"/>
              <w:right w:type="dxa" w:w="110"/>
            </w:tcMar>
          </w:tcPr>
          <w:p>
            <w:r>
              <w:rPr>
                <w:color w:val="18181B"/>
                <w:sz w:val="19"/>
                <w:szCs w:val="19"/>
              </w:rPr>
              <w:t xml:space="preserve">Intelligence</w:t>
            </w:r>
          </w:p>
        </w:tc>
        <w:tc>
          <w:tcPr>
            <w:tcW w:type="dxa" w:w="7660"/>
            <w:tcMar>
              <w:top w:type="dxa" w:w="60"/>
              <w:left w:type="dxa" w:w="110"/>
              <w:bottom w:type="dxa" w:w="60"/>
              <w:right w:type="dxa" w:w="110"/>
            </w:tcMar>
          </w:tcPr>
          <w:p>
            <w:r>
              <w:rPr>
                <w:color w:val="18181B"/>
                <w:sz w:val="19"/>
                <w:szCs w:val="19"/>
              </w:rPr>
              <w:t xml:space="preserve">performance_predictions, recommendations, room_allocation_runs, kb_documents, chat_sessions, chat_messages</w:t>
            </w:r>
          </w:p>
        </w:tc>
      </w:tr>
    </w:tbl>
    <w:p>
      <w:pPr>
        <w:spacing w:after="80"/>
      </w:pPr>
    </w:p>
    <w:p>
      <w:pPr>
        <w:pStyle w:val="Heading2"/>
        <w:spacing w:after="100" w:before="220"/>
      </w:pPr>
      <w:bookmarkStart w:name="_Toc5" w:id="5"/>
      <w:r>
        <w:rPr>
          <w:b/>
          <w:bCs/>
          <w:color w:val="4F46E5"/>
        </w:rPr>
        <w:t xml:space="preserve">Invariants enforced by the database</w:t>
      </w:r>
      <w:bookmarkEnd w:id="5"/>
    </w:p>
    <w:p>
      <w:pPr>
        <w:pStyle w:val="ListParagraph"/>
        <w:numPr>
          <w:ilvl w:val="0"/>
          <w:numId w:val="2"/>
        </w:numPr>
        <w:spacing w:after="60" w:line="268"/>
      </w:pPr>
      <w:r>
        <w:rPr>
          <w:color w:val="18181B"/>
        </w:rPr>
        <w:t xml:space="preserve">No room is double-booked: a GiST exclusion constraint rejects overlapping timetable slots and facility bookings in the same room.</w:t>
      </w:r>
    </w:p>
    <w:p>
      <w:pPr>
        <w:pStyle w:val="ListParagraph"/>
        <w:numPr>
          <w:ilvl w:val="0"/>
          <w:numId w:val="2"/>
        </w:numPr>
        <w:spacing w:after="60" w:line="268"/>
      </w:pPr>
      <w:r>
        <w:rPr>
          <w:color w:val="18181B"/>
        </w:rPr>
        <w:t xml:space="preserve">A student holds at most one active hostel bed, and a book copy has at most one open loan — each guaranteed by a partial unique index.</w:t>
      </w:r>
    </w:p>
    <w:p>
      <w:pPr>
        <w:pStyle w:val="ListParagraph"/>
        <w:numPr>
          <w:ilvl w:val="0"/>
          <w:numId w:val="2"/>
        </w:numPr>
        <w:spacing w:after="60" w:line="268"/>
      </w:pPr>
      <w:r>
        <w:rPr>
          <w:color w:val="18181B"/>
        </w:rPr>
        <w:t xml:space="preserve">A grade's point value, an attendance percentage and a fee total are computed from source rows, never stored twice.</w:t>
      </w:r>
    </w:p>
    <w:p>
      <w:pPr>
        <w:pStyle w:val="Heading1"/>
        <w:spacing w:after="140" w:before="320"/>
      </w:pPr>
      <w:bookmarkStart w:name="_Toc6" w:id="6"/>
      <w:r>
        <w:rPr>
          <w:b/>
          <w:bCs/>
          <w:color w:val="18181B"/>
        </w:rPr>
        <w:t xml:space="preserve">4. Access Control and Roles</w:t>
      </w:r>
      <w:bookmarkEnd w:id="6"/>
    </w:p>
    <w:p>
      <w:pPr>
        <w:spacing w:after="120" w:line="276"/>
      </w:pPr>
      <w:r>
        <w:rPr>
          <w:color w:val="18181B"/>
        </w:rPr>
        <w:t xml:space="preserve">Security has two layers. The database enforces Row-Level Security on every table, so a request can only ever read rows its role is entitled to. The web app adds a route gate (requireModule) so a person never lands on a page that would be empty for them, and each role's navigation is built from the same access table.</w:t>
      </w:r>
    </w:p>
    <w:p>
      <w:pPr>
        <w:spacing w:after="120" w:line="276"/>
      </w:pPr>
      <w:r>
        <w:rPr>
          <w:color w:val="18181B"/>
        </w:rPr>
        <w:t xml:space="preserve">The twelve roles from the plan and the workspace each one sees:</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2200"/>
        <w:gridCol w:w="7160"/>
      </w:tblGrid>
      <w:tr>
        <w:trPr>
          <w:tblHeader/>
        </w:trPr>
        <w:tc>
          <w:tcPr>
            <w:tcW w:type="dxa" w:w="2200"/>
            <w:shd w:fill="F4F4F5" w:color="auto" w:val="clear"/>
            <w:tcMar>
              <w:top w:type="dxa" w:w="60"/>
              <w:left w:type="dxa" w:w="110"/>
              <w:bottom w:type="dxa" w:w="60"/>
              <w:right w:type="dxa" w:w="110"/>
            </w:tcMar>
          </w:tcPr>
          <w:p>
            <w:r>
              <w:rPr>
                <w:b/>
                <w:bCs/>
                <w:color w:val="18181B"/>
                <w:sz w:val="19"/>
                <w:szCs w:val="19"/>
              </w:rPr>
              <w:t xml:space="preserve">Role</w:t>
            </w:r>
          </w:p>
        </w:tc>
        <w:tc>
          <w:tcPr>
            <w:tcW w:type="dxa" w:w="7160"/>
            <w:shd w:fill="F4F4F5" w:color="auto" w:val="clear"/>
            <w:tcMar>
              <w:top w:type="dxa" w:w="60"/>
              <w:left w:type="dxa" w:w="110"/>
              <w:bottom w:type="dxa" w:w="60"/>
              <w:right w:type="dxa" w:w="110"/>
            </w:tcMar>
          </w:tcPr>
          <w:p>
            <w:r>
              <w:rPr>
                <w:b/>
                <w:bCs/>
                <w:color w:val="18181B"/>
                <w:sz w:val="19"/>
                <w:szCs w:val="19"/>
              </w:rPr>
              <w:t xml:space="preserve">Sees</w:t>
            </w:r>
          </w:p>
        </w:tc>
      </w:tr>
      <w:tr>
        <w:tc>
          <w:tcPr>
            <w:tcW w:type="dxa" w:w="2200"/>
            <w:tcMar>
              <w:top w:type="dxa" w:w="60"/>
              <w:left w:type="dxa" w:w="110"/>
              <w:bottom w:type="dxa" w:w="60"/>
              <w:right w:type="dxa" w:w="110"/>
            </w:tcMar>
          </w:tcPr>
          <w:p>
            <w:r>
              <w:rPr>
                <w:color w:val="18181B"/>
                <w:sz w:val="19"/>
                <w:szCs w:val="19"/>
              </w:rPr>
              <w:t xml:space="preserve">Administrator</w:t>
            </w:r>
          </w:p>
        </w:tc>
        <w:tc>
          <w:tcPr>
            <w:tcW w:type="dxa" w:w="7160"/>
            <w:tcMar>
              <w:top w:type="dxa" w:w="60"/>
              <w:left w:type="dxa" w:w="110"/>
              <w:bottom w:type="dxa" w:w="60"/>
              <w:right w:type="dxa" w:w="110"/>
            </w:tcMar>
          </w:tcPr>
          <w:p>
            <w:r>
              <w:rPr>
                <w:color w:val="18181B"/>
                <w:sz w:val="19"/>
                <w:szCs w:val="19"/>
              </w:rPr>
              <w:t xml:space="preserve">Everything; institution-wide dashboard.</w:t>
            </w:r>
          </w:p>
        </w:tc>
      </w:tr>
      <w:tr>
        <w:tc>
          <w:tcPr>
            <w:tcW w:type="dxa" w:w="2200"/>
            <w:tcMar>
              <w:top w:type="dxa" w:w="60"/>
              <w:left w:type="dxa" w:w="110"/>
              <w:bottom w:type="dxa" w:w="60"/>
              <w:right w:type="dxa" w:w="110"/>
            </w:tcMar>
          </w:tcPr>
          <w:p>
            <w:r>
              <w:rPr>
                <w:color w:val="18181B"/>
                <w:sz w:val="19"/>
                <w:szCs w:val="19"/>
              </w:rPr>
              <w:t xml:space="preserve">Head of Department</w:t>
            </w:r>
          </w:p>
        </w:tc>
        <w:tc>
          <w:tcPr>
            <w:tcW w:type="dxa" w:w="7160"/>
            <w:tcMar>
              <w:top w:type="dxa" w:w="60"/>
              <w:left w:type="dxa" w:w="110"/>
              <w:bottom w:type="dxa" w:w="60"/>
              <w:right w:type="dxa" w:w="110"/>
            </w:tcMar>
          </w:tcPr>
          <w:p>
            <w:r>
              <w:rPr>
                <w:color w:val="18181B"/>
                <w:sz w:val="19"/>
                <w:szCs w:val="19"/>
              </w:rPr>
              <w:t xml:space="preserve">Their department's students, faculty, courses, attendance, results, placements, research; department dashboard.</w:t>
            </w:r>
          </w:p>
        </w:tc>
      </w:tr>
      <w:tr>
        <w:tc>
          <w:tcPr>
            <w:tcW w:type="dxa" w:w="2200"/>
            <w:tcMar>
              <w:top w:type="dxa" w:w="60"/>
              <w:left w:type="dxa" w:w="110"/>
              <w:bottom w:type="dxa" w:w="60"/>
              <w:right w:type="dxa" w:w="110"/>
            </w:tcMar>
          </w:tcPr>
          <w:p>
            <w:r>
              <w:rPr>
                <w:color w:val="18181B"/>
                <w:sz w:val="19"/>
                <w:szCs w:val="19"/>
              </w:rPr>
              <w:t xml:space="preserve">Faculty</w:t>
            </w:r>
          </w:p>
        </w:tc>
        <w:tc>
          <w:tcPr>
            <w:tcW w:type="dxa" w:w="7160"/>
            <w:tcMar>
              <w:top w:type="dxa" w:w="60"/>
              <w:left w:type="dxa" w:w="110"/>
              <w:bottom w:type="dxa" w:w="60"/>
              <w:right w:type="dxa" w:w="110"/>
            </w:tcMar>
          </w:tcPr>
          <w:p>
            <w:r>
              <w:rPr>
                <w:color w:val="18181B"/>
                <w:sz w:val="19"/>
                <w:szCs w:val="19"/>
              </w:rPr>
              <w:t xml:space="preserve">Only their own sections, the students they teach, and their mentees; attendance and exams for those sections.</w:t>
            </w:r>
          </w:p>
        </w:tc>
      </w:tr>
      <w:tr>
        <w:tc>
          <w:tcPr>
            <w:tcW w:type="dxa" w:w="2200"/>
            <w:tcMar>
              <w:top w:type="dxa" w:w="60"/>
              <w:left w:type="dxa" w:w="110"/>
              <w:bottom w:type="dxa" w:w="60"/>
              <w:right w:type="dxa" w:w="110"/>
            </w:tcMar>
          </w:tcPr>
          <w:p>
            <w:r>
              <w:rPr>
                <w:color w:val="18181B"/>
                <w:sz w:val="19"/>
                <w:szCs w:val="19"/>
              </w:rPr>
              <w:t xml:space="preserve">Student</w:t>
            </w:r>
          </w:p>
        </w:tc>
        <w:tc>
          <w:tcPr>
            <w:tcW w:type="dxa" w:w="7160"/>
            <w:tcMar>
              <w:top w:type="dxa" w:w="60"/>
              <w:left w:type="dxa" w:w="110"/>
              <w:bottom w:type="dxa" w:w="60"/>
              <w:right w:type="dxa" w:w="110"/>
            </w:tcMar>
          </w:tcPr>
          <w:p>
            <w:r>
              <w:rPr>
                <w:color w:val="18181B"/>
                <w:sz w:val="19"/>
                <w:szCs w:val="19"/>
              </w:rPr>
              <w:t xml:space="preserve">Only their own record — attendance, marks, prediction, recommendations, fees, library loans, grievances; plus campus catalogues (events, clubs, sports, library).</w:t>
            </w:r>
          </w:p>
        </w:tc>
      </w:tr>
      <w:tr>
        <w:tc>
          <w:tcPr>
            <w:tcW w:type="dxa" w:w="2200"/>
            <w:tcMar>
              <w:top w:type="dxa" w:w="60"/>
              <w:left w:type="dxa" w:w="110"/>
              <w:bottom w:type="dxa" w:w="60"/>
              <w:right w:type="dxa" w:w="110"/>
            </w:tcMar>
          </w:tcPr>
          <w:p>
            <w:r>
              <w:rPr>
                <w:color w:val="18181B"/>
                <w:sz w:val="19"/>
                <w:szCs w:val="19"/>
              </w:rPr>
              <w:t xml:space="preserve">Warden</w:t>
            </w:r>
          </w:p>
        </w:tc>
        <w:tc>
          <w:tcPr>
            <w:tcW w:type="dxa" w:w="7160"/>
            <w:tcMar>
              <w:top w:type="dxa" w:w="60"/>
              <w:left w:type="dxa" w:w="110"/>
              <w:bottom w:type="dxa" w:w="60"/>
              <w:right w:type="dxa" w:w="110"/>
            </w:tcMar>
          </w:tcPr>
          <w:p>
            <w:r>
              <w:rPr>
                <w:color w:val="18181B"/>
                <w:sz w:val="19"/>
                <w:szCs w:val="19"/>
              </w:rPr>
              <w:t xml:space="preserve">Hostels, rooms, allocations and complaints; hostel dashboard.</w:t>
            </w:r>
          </w:p>
        </w:tc>
      </w:tr>
      <w:tr>
        <w:tc>
          <w:tcPr>
            <w:tcW w:type="dxa" w:w="2200"/>
            <w:tcMar>
              <w:top w:type="dxa" w:w="60"/>
              <w:left w:type="dxa" w:w="110"/>
              <w:bottom w:type="dxa" w:w="60"/>
              <w:right w:type="dxa" w:w="110"/>
            </w:tcMar>
          </w:tcPr>
          <w:p>
            <w:r>
              <w:rPr>
                <w:color w:val="18181B"/>
                <w:sz w:val="19"/>
                <w:szCs w:val="19"/>
              </w:rPr>
              <w:t xml:space="preserve">Placement Officer</w:t>
            </w:r>
          </w:p>
        </w:tc>
        <w:tc>
          <w:tcPr>
            <w:tcW w:type="dxa" w:w="7160"/>
            <w:tcMar>
              <w:top w:type="dxa" w:w="60"/>
              <w:left w:type="dxa" w:w="110"/>
              <w:bottom w:type="dxa" w:w="60"/>
              <w:right w:type="dxa" w:w="110"/>
            </w:tcMar>
          </w:tcPr>
          <w:p>
            <w:r>
              <w:rPr>
                <w:color w:val="18181B"/>
                <w:sz w:val="19"/>
                <w:szCs w:val="19"/>
              </w:rPr>
              <w:t xml:space="preserve">Drives, applications, offers, and students for assessment; placement funnel.</w:t>
            </w:r>
          </w:p>
        </w:tc>
      </w:tr>
      <w:tr>
        <w:tc>
          <w:tcPr>
            <w:tcW w:type="dxa" w:w="2200"/>
            <w:tcMar>
              <w:top w:type="dxa" w:w="60"/>
              <w:left w:type="dxa" w:w="110"/>
              <w:bottom w:type="dxa" w:w="60"/>
              <w:right w:type="dxa" w:w="110"/>
            </w:tcMar>
          </w:tcPr>
          <w:p>
            <w:r>
              <w:rPr>
                <w:color w:val="18181B"/>
                <w:sz w:val="19"/>
                <w:szCs w:val="19"/>
              </w:rPr>
              <w:t xml:space="preserve">Librarian</w:t>
            </w:r>
          </w:p>
        </w:tc>
        <w:tc>
          <w:tcPr>
            <w:tcW w:type="dxa" w:w="7160"/>
            <w:tcMar>
              <w:top w:type="dxa" w:w="60"/>
              <w:left w:type="dxa" w:w="110"/>
              <w:bottom w:type="dxa" w:w="60"/>
              <w:right w:type="dxa" w:w="110"/>
            </w:tcMar>
          </w:tcPr>
          <w:p>
            <w:r>
              <w:rPr>
                <w:color w:val="18181B"/>
                <w:sz w:val="19"/>
                <w:szCs w:val="19"/>
              </w:rPr>
              <w:t xml:space="preserve">Books, copies, loans, overdue and fines.</w:t>
            </w:r>
          </w:p>
        </w:tc>
      </w:tr>
      <w:tr>
        <w:tc>
          <w:tcPr>
            <w:tcW w:type="dxa" w:w="2200"/>
            <w:tcMar>
              <w:top w:type="dxa" w:w="60"/>
              <w:left w:type="dxa" w:w="110"/>
              <w:bottom w:type="dxa" w:w="60"/>
              <w:right w:type="dxa" w:w="110"/>
            </w:tcMar>
          </w:tcPr>
          <w:p>
            <w:r>
              <w:rPr>
                <w:color w:val="18181B"/>
                <w:sz w:val="19"/>
                <w:szCs w:val="19"/>
              </w:rPr>
              <w:t xml:space="preserve">Transport Manager</w:t>
            </w:r>
          </w:p>
        </w:tc>
        <w:tc>
          <w:tcPr>
            <w:tcW w:type="dxa" w:w="7160"/>
            <w:tcMar>
              <w:top w:type="dxa" w:w="60"/>
              <w:left w:type="dxa" w:w="110"/>
              <w:bottom w:type="dxa" w:w="60"/>
              <w:right w:type="dxa" w:w="110"/>
            </w:tcMar>
          </w:tcPr>
          <w:p>
            <w:r>
              <w:rPr>
                <w:color w:val="18181B"/>
                <w:sz w:val="19"/>
                <w:szCs w:val="19"/>
              </w:rPr>
              <w:t xml:space="preserve">Routes, stops, buses and passes.</w:t>
            </w:r>
          </w:p>
        </w:tc>
      </w:tr>
      <w:tr>
        <w:tc>
          <w:tcPr>
            <w:tcW w:type="dxa" w:w="2200"/>
            <w:tcMar>
              <w:top w:type="dxa" w:w="60"/>
              <w:left w:type="dxa" w:w="110"/>
              <w:bottom w:type="dxa" w:w="60"/>
              <w:right w:type="dxa" w:w="110"/>
            </w:tcMar>
          </w:tcPr>
          <w:p>
            <w:r>
              <w:rPr>
                <w:color w:val="18181B"/>
                <w:sz w:val="19"/>
                <w:szCs w:val="19"/>
              </w:rPr>
              <w:t xml:space="preserve">Medical Officer</w:t>
            </w:r>
          </w:p>
        </w:tc>
        <w:tc>
          <w:tcPr>
            <w:tcW w:type="dxa" w:w="7160"/>
            <w:tcMar>
              <w:top w:type="dxa" w:w="60"/>
              <w:left w:type="dxa" w:w="110"/>
              <w:bottom w:type="dxa" w:w="60"/>
              <w:right w:type="dxa" w:w="110"/>
            </w:tcMar>
          </w:tcPr>
          <w:p>
            <w:r>
              <w:rPr>
                <w:color w:val="18181B"/>
                <w:sz w:val="19"/>
                <w:szCs w:val="19"/>
              </w:rPr>
              <w:t xml:space="preserve">Medical visits and medicine stock.</w:t>
            </w:r>
          </w:p>
        </w:tc>
      </w:tr>
      <w:tr>
        <w:tc>
          <w:tcPr>
            <w:tcW w:type="dxa" w:w="2200"/>
            <w:tcMar>
              <w:top w:type="dxa" w:w="60"/>
              <w:left w:type="dxa" w:w="110"/>
              <w:bottom w:type="dxa" w:w="60"/>
              <w:right w:type="dxa" w:w="110"/>
            </w:tcMar>
          </w:tcPr>
          <w:p>
            <w:r>
              <w:rPr>
                <w:color w:val="18181B"/>
                <w:sz w:val="19"/>
                <w:szCs w:val="19"/>
              </w:rPr>
              <w:t xml:space="preserve">Security</w:t>
            </w:r>
          </w:p>
        </w:tc>
        <w:tc>
          <w:tcPr>
            <w:tcW w:type="dxa" w:w="7160"/>
            <w:tcMar>
              <w:top w:type="dxa" w:w="60"/>
              <w:left w:type="dxa" w:w="110"/>
              <w:bottom w:type="dxa" w:w="60"/>
              <w:right w:type="dxa" w:w="110"/>
            </w:tcMar>
          </w:tcPr>
          <w:p>
            <w:r>
              <w:rPr>
                <w:color w:val="18181B"/>
                <w:sz w:val="19"/>
                <w:szCs w:val="19"/>
              </w:rPr>
              <w:t xml:space="preserve">Visitor log and who is on campus now.</w:t>
            </w:r>
          </w:p>
        </w:tc>
      </w:tr>
      <w:tr>
        <w:tc>
          <w:tcPr>
            <w:tcW w:type="dxa" w:w="2200"/>
            <w:tcMar>
              <w:top w:type="dxa" w:w="60"/>
              <w:left w:type="dxa" w:w="110"/>
              <w:bottom w:type="dxa" w:w="60"/>
              <w:right w:type="dxa" w:w="110"/>
            </w:tcMar>
          </w:tcPr>
          <w:p>
            <w:r>
              <w:rPr>
                <w:color w:val="18181B"/>
                <w:sz w:val="19"/>
                <w:szCs w:val="19"/>
              </w:rPr>
              <w:t xml:space="preserve">Accounts</w:t>
            </w:r>
          </w:p>
        </w:tc>
        <w:tc>
          <w:tcPr>
            <w:tcW w:type="dxa" w:w="7160"/>
            <w:tcMar>
              <w:top w:type="dxa" w:w="60"/>
              <w:left w:type="dxa" w:w="110"/>
              <w:bottom w:type="dxa" w:w="60"/>
              <w:right w:type="dxa" w:w="110"/>
            </w:tcMar>
          </w:tcPr>
          <w:p>
            <w:r>
              <w:rPr>
                <w:color w:val="18181B"/>
                <w:sz w:val="19"/>
                <w:szCs w:val="19"/>
              </w:rPr>
              <w:t xml:space="preserve">Invoices, payments, scholarships, expenses; collection dashboard.</w:t>
            </w:r>
          </w:p>
        </w:tc>
      </w:tr>
      <w:tr>
        <w:tc>
          <w:tcPr>
            <w:tcW w:type="dxa" w:w="2200"/>
            <w:tcMar>
              <w:top w:type="dxa" w:w="60"/>
              <w:left w:type="dxa" w:w="110"/>
              <w:bottom w:type="dxa" w:w="60"/>
              <w:right w:type="dxa" w:w="110"/>
            </w:tcMar>
          </w:tcPr>
          <w:p>
            <w:r>
              <w:rPr>
                <w:color w:val="18181B"/>
                <w:sz w:val="19"/>
                <w:szCs w:val="19"/>
              </w:rPr>
              <w:t xml:space="preserve">Alumnus</w:t>
            </w:r>
          </w:p>
        </w:tc>
        <w:tc>
          <w:tcPr>
            <w:tcW w:type="dxa" w:w="7160"/>
            <w:tcMar>
              <w:top w:type="dxa" w:w="60"/>
              <w:left w:type="dxa" w:w="110"/>
              <w:bottom w:type="dxa" w:w="60"/>
              <w:right w:type="dxa" w:w="110"/>
            </w:tcMar>
          </w:tcPr>
          <w:p>
            <w:r>
              <w:rPr>
                <w:color w:val="18181B"/>
                <w:sz w:val="19"/>
                <w:szCs w:val="19"/>
              </w:rPr>
              <w:t xml:space="preserve">Their profile and upcoming events.</w:t>
            </w:r>
          </w:p>
        </w:tc>
      </w:tr>
    </w:tbl>
    <w:p>
      <w:pPr>
        <w:spacing w:after="80"/>
      </w:pPr>
    </w:p>
    <w:p>
      <w:pPr>
        <w:spacing w:after="120" w:line="276"/>
      </w:pPr>
      <w:r>
        <w:rPr>
          <w:i/>
          <w:iCs/>
          <w:color w:val="18181B"/>
        </w:rPr>
        <w:t xml:space="preserve">Enforcement is defence-in-depth: even if the UI linked somewhere it shouldn't, RLS returns no rows. Helper functions (is_staff, my_role, my_student_id) run in a private schema that is not exposed over the API.</w:t>
      </w:r>
    </w:p>
    <w:p>
      <w:pPr>
        <w:pStyle w:val="Heading1"/>
        <w:spacing w:after="140" w:before="320"/>
      </w:pPr>
      <w:bookmarkStart w:name="_Toc7" w:id="7"/>
      <w:r>
        <w:rPr>
          <w:b/>
          <w:bCs/>
          <w:color w:val="18181B"/>
        </w:rPr>
        <w:t xml:space="preserve">5. Reporting and Performance</w:t>
      </w:r>
      <w:bookmarkEnd w:id="7"/>
    </w:p>
    <w:p>
      <w:pPr>
        <w:spacing w:after="120" w:line="276"/>
      </w:pPr>
      <w:r>
        <w:rPr>
          <w:color w:val="18181B"/>
        </w:rPr>
        <w:t xml:space="preserve">Dashboards read from database views (prefixed v_) that run with the caller's privileges, so RLS still applies through them. The institution overview originally recomputed roughly half a million attendance rows on every visit and took over five seconds.</w:t>
      </w:r>
    </w:p>
    <w:p>
      <w:pPr>
        <w:spacing w:after="120" w:line="276"/>
      </w:pPr>
      <w:r>
        <w:rPr>
          <w:color w:val="18181B"/>
        </w:rPr>
        <w:t xml:space="preserve">The fix is a materialized roll-up of attendance counts per student and section, refreshed every ten minutes by pg_cron. Every reporting view now reads the small roll-up instead of the raw records, bringing each dashboard query to near network latency (about 0.3 seconds).</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3000"/>
        <w:gridCol w:w="6360"/>
      </w:tblGrid>
      <w:tr>
        <w:trPr>
          <w:tblHeader/>
        </w:trPr>
        <w:tc>
          <w:tcPr>
            <w:tcW w:type="dxa" w:w="3000"/>
            <w:shd w:fill="F4F4F5" w:color="auto" w:val="clear"/>
            <w:tcMar>
              <w:top w:type="dxa" w:w="60"/>
              <w:left w:type="dxa" w:w="110"/>
              <w:bottom w:type="dxa" w:w="60"/>
              <w:right w:type="dxa" w:w="110"/>
            </w:tcMar>
          </w:tcPr>
          <w:p>
            <w:r>
              <w:rPr>
                <w:b/>
                <w:bCs/>
                <w:color w:val="18181B"/>
                <w:sz w:val="19"/>
                <w:szCs w:val="19"/>
              </w:rPr>
              <w:t xml:space="preserve">View</w:t>
            </w:r>
          </w:p>
        </w:tc>
        <w:tc>
          <w:tcPr>
            <w:tcW w:type="dxa" w:w="6360"/>
            <w:shd w:fill="F4F4F5" w:color="auto" w:val="clear"/>
            <w:tcMar>
              <w:top w:type="dxa" w:w="60"/>
              <w:left w:type="dxa" w:w="110"/>
              <w:bottom w:type="dxa" w:w="60"/>
              <w:right w:type="dxa" w:w="110"/>
            </w:tcMar>
          </w:tcPr>
          <w:p>
            <w:r>
              <w:rPr>
                <w:b/>
                <w:bCs/>
                <w:color w:val="18181B"/>
                <w:sz w:val="19"/>
                <w:szCs w:val="19"/>
              </w:rPr>
              <w:t xml:space="preserve">Purpose</w:t>
            </w:r>
          </w:p>
        </w:tc>
      </w:tr>
      <w:tr>
        <w:tc>
          <w:tcPr>
            <w:tcW w:type="dxa" w:w="3000"/>
            <w:tcMar>
              <w:top w:type="dxa" w:w="60"/>
              <w:left w:type="dxa" w:w="110"/>
              <w:bottom w:type="dxa" w:w="60"/>
              <w:right w:type="dxa" w:w="110"/>
            </w:tcMar>
          </w:tcPr>
          <w:p>
            <w:r>
              <w:rPr>
                <w:color w:val="18181B"/>
                <w:sz w:val="19"/>
                <w:szCs w:val="19"/>
              </w:rPr>
              <w:t xml:space="preserve">v_dashboard_kpis</w:t>
            </w:r>
          </w:p>
        </w:tc>
        <w:tc>
          <w:tcPr>
            <w:tcW w:type="dxa" w:w="6360"/>
            <w:tcMar>
              <w:top w:type="dxa" w:w="60"/>
              <w:left w:type="dxa" w:w="110"/>
              <w:bottom w:type="dxa" w:w="60"/>
              <w:right w:type="dxa" w:w="110"/>
            </w:tcMar>
          </w:tcPr>
          <w:p>
            <w:r>
              <w:rPr>
                <w:color w:val="18181B"/>
                <w:sz w:val="19"/>
                <w:szCs w:val="19"/>
              </w:rPr>
              <w:t xml:space="preserve">Headline counts for the admin overview.</w:t>
            </w:r>
          </w:p>
        </w:tc>
      </w:tr>
      <w:tr>
        <w:tc>
          <w:tcPr>
            <w:tcW w:type="dxa" w:w="3000"/>
            <w:tcMar>
              <w:top w:type="dxa" w:w="60"/>
              <w:left w:type="dxa" w:w="110"/>
              <w:bottom w:type="dxa" w:w="60"/>
              <w:right w:type="dxa" w:w="110"/>
            </w:tcMar>
          </w:tcPr>
          <w:p>
            <w:r>
              <w:rPr>
                <w:color w:val="18181B"/>
                <w:sz w:val="19"/>
                <w:szCs w:val="19"/>
              </w:rPr>
              <w:t xml:space="preserve">v_department_attendance</w:t>
            </w:r>
          </w:p>
        </w:tc>
        <w:tc>
          <w:tcPr>
            <w:tcW w:type="dxa" w:w="6360"/>
            <w:tcMar>
              <w:top w:type="dxa" w:w="60"/>
              <w:left w:type="dxa" w:w="110"/>
              <w:bottom w:type="dxa" w:w="60"/>
              <w:right w:type="dxa" w:w="110"/>
            </w:tcMar>
          </w:tcPr>
          <w:p>
            <w:r>
              <w:rPr>
                <w:color w:val="18181B"/>
                <w:sz w:val="19"/>
                <w:szCs w:val="19"/>
              </w:rPr>
              <w:t xml:space="preserve">Attendance by department.</w:t>
            </w:r>
          </w:p>
        </w:tc>
      </w:tr>
      <w:tr>
        <w:tc>
          <w:tcPr>
            <w:tcW w:type="dxa" w:w="3000"/>
            <w:tcMar>
              <w:top w:type="dxa" w:w="60"/>
              <w:left w:type="dxa" w:w="110"/>
              <w:bottom w:type="dxa" w:w="60"/>
              <w:right w:type="dxa" w:w="110"/>
            </w:tcMar>
          </w:tcPr>
          <w:p>
            <w:r>
              <w:rPr>
                <w:color w:val="18181B"/>
                <w:sz w:val="19"/>
                <w:szCs w:val="19"/>
              </w:rPr>
              <w:t xml:space="preserve">v_student_directory</w:t>
            </w:r>
          </w:p>
        </w:tc>
        <w:tc>
          <w:tcPr>
            <w:tcW w:type="dxa" w:w="6360"/>
            <w:tcMar>
              <w:top w:type="dxa" w:w="60"/>
              <w:left w:type="dxa" w:w="110"/>
              <w:bottom w:type="dxa" w:w="60"/>
              <w:right w:type="dxa" w:w="110"/>
            </w:tcMar>
          </w:tcPr>
          <w:p>
            <w:r>
              <w:rPr>
                <w:color w:val="18181B"/>
                <w:sz w:val="19"/>
                <w:szCs w:val="19"/>
              </w:rPr>
              <w:t xml:space="preserve">One row per student with attendance, risk and prediction.</w:t>
            </w:r>
          </w:p>
        </w:tc>
      </w:tr>
      <w:tr>
        <w:tc>
          <w:tcPr>
            <w:tcW w:type="dxa" w:w="3000"/>
            <w:tcMar>
              <w:top w:type="dxa" w:w="60"/>
              <w:left w:type="dxa" w:w="110"/>
              <w:bottom w:type="dxa" w:w="60"/>
              <w:right w:type="dxa" w:w="110"/>
            </w:tcMar>
          </w:tcPr>
          <w:p>
            <w:r>
              <w:rPr>
                <w:color w:val="18181B"/>
                <w:sz w:val="19"/>
                <w:szCs w:val="19"/>
              </w:rPr>
              <w:t xml:space="preserve">v_section_catalogue / v_timetable</w:t>
            </w:r>
          </w:p>
        </w:tc>
        <w:tc>
          <w:tcPr>
            <w:tcW w:type="dxa" w:w="6360"/>
            <w:tcMar>
              <w:top w:type="dxa" w:w="60"/>
              <w:left w:type="dxa" w:w="110"/>
              <w:bottom w:type="dxa" w:w="60"/>
              <w:right w:type="dxa" w:w="110"/>
            </w:tcMar>
          </w:tcPr>
          <w:p>
            <w:r>
              <w:rPr>
                <w:color w:val="18181B"/>
                <w:sz w:val="19"/>
                <w:szCs w:val="19"/>
              </w:rPr>
              <w:t xml:space="preserve">Sections and the weekly timetable, with faculty and enrolment.</w:t>
            </w:r>
          </w:p>
        </w:tc>
      </w:tr>
      <w:tr>
        <w:tc>
          <w:tcPr>
            <w:tcW w:type="dxa" w:w="3000"/>
            <w:tcMar>
              <w:top w:type="dxa" w:w="60"/>
              <w:left w:type="dxa" w:w="110"/>
              <w:bottom w:type="dxa" w:w="60"/>
              <w:right w:type="dxa" w:w="110"/>
            </w:tcMar>
          </w:tcPr>
          <w:p>
            <w:r>
              <w:rPr>
                <w:color w:val="18181B"/>
                <w:sz w:val="19"/>
                <w:szCs w:val="19"/>
              </w:rPr>
              <w:t xml:space="preserve">v_invoice_ledger / v_placement_funnel / v_library_loans</w:t>
            </w:r>
          </w:p>
        </w:tc>
        <w:tc>
          <w:tcPr>
            <w:tcW w:type="dxa" w:w="6360"/>
            <w:tcMar>
              <w:top w:type="dxa" w:w="60"/>
              <w:left w:type="dxa" w:w="110"/>
              <w:bottom w:type="dxa" w:w="60"/>
              <w:right w:type="dxa" w:w="110"/>
            </w:tcMar>
          </w:tcPr>
          <w:p>
            <w:r>
              <w:rPr>
                <w:color w:val="18181B"/>
                <w:sz w:val="19"/>
                <w:szCs w:val="19"/>
              </w:rPr>
              <w:t xml:space="preserve">Finance, placement and library summaries.</w:t>
            </w:r>
          </w:p>
        </w:tc>
      </w:tr>
    </w:tbl>
    <w:p>
      <w:pPr>
        <w:pStyle w:val="Heading1"/>
        <w:spacing w:after="140" w:before="320"/>
      </w:pPr>
      <w:bookmarkStart w:name="_Toc8" w:id="8"/>
      <w:r>
        <w:rPr>
          <w:b/>
          <w:bCs/>
          <w:color w:val="18181B"/>
        </w:rPr>
        <w:t xml:space="preserve">6. Intelligence Logic</w:t>
      </w:r>
      <w:bookmarkEnd w:id="8"/>
    </w:p>
    <w:p>
      <w:pPr>
        <w:pStyle w:val="Heading2"/>
        <w:spacing w:after="100" w:before="220"/>
      </w:pPr>
      <w:bookmarkStart w:name="_Toc9" w:id="9"/>
      <w:r>
        <w:rPr>
          <w:b/>
          <w:bCs/>
          <w:color w:val="4F46E5"/>
        </w:rPr>
        <w:t xml:space="preserve">6.1 Performance prediction</w:t>
      </w:r>
      <w:bookmarkEnd w:id="9"/>
    </w:p>
    <w:p>
      <w:pPr>
        <w:spacing w:after="120" w:line="276"/>
      </w:pPr>
      <w:r>
        <w:rPr>
          <w:color w:val="18181B"/>
        </w:rPr>
        <w:t xml:space="preserve">For each active student a feature frame is built from attendance, the marks achieved so far this term, and prior CGPA. A gradient-boosted regressor is trained on students who already have graded terms; with too little labelled data it falls back to a transparent weighted blend. Term marks are converted to the registrar's grade scale (90→10, 80→9, 70→8, 60→7, 50→6, 40→5) before blending, so the prediction agrees with how grades are actually awarded.</w:t>
      </w:r>
    </w:p>
    <w:p>
      <w:pPr>
        <w:spacing w:after="120" w:line="276"/>
      </w:pPr>
      <w:r>
        <w:rPr>
          <w:rFonts w:ascii="Consolas" w:cs="Consolas" w:eastAsia="Consolas" w:hAnsi="Consolas"/>
          <w:color w:val="18181B"/>
          <w:sz w:val="18"/>
          <w:szCs w:val="18"/>
        </w:rPr>
        <w:t xml:space="preserve">predicted GPA  =  0.55 × prior CGPA  +  0.30 × term grade  +  0.15 × attendance×10   (seniors)</w:t>
      </w:r>
    </w:p>
    <w:p>
      <w:pPr>
        <w:spacing w:after="120" w:line="276"/>
      </w:pPr>
      <w:r>
        <w:rPr>
          <w:color w:val="18181B"/>
        </w:rPr>
        <w:t xml:space="preserve">A student is high risk if the predicted GPA is below 5.5 or attendance is below 70%, medium below 6.5 or 75%, otherwise low. Each prediction stores the factors behind it so the student page can explain why.</w:t>
      </w:r>
    </w:p>
    <w:p>
      <w:pPr>
        <w:pStyle w:val="Heading2"/>
        <w:spacing w:after="100" w:before="220"/>
      </w:pPr>
      <w:bookmarkStart w:name="_Toc10" w:id="10"/>
      <w:r>
        <w:rPr>
          <w:b/>
          <w:bCs/>
          <w:color w:val="4F46E5"/>
        </w:rPr>
        <w:t xml:space="preserve">6.2 Elective recommendation</w:t>
      </w:r>
      <w:bookmarkEnd w:id="10"/>
    </w:p>
    <w:p>
      <w:pPr>
        <w:spacing w:after="120" w:line="276"/>
      </w:pPr>
      <w:r>
        <w:rPr>
          <w:color w:val="18181B"/>
        </w:rPr>
        <w:t xml:space="preserve">A hybrid of content match (overlap of the student's interests and the tags of courses they did well in, against each elective's tags) and popularity among peers. The top electives the student has not already taken, in their department and semester, are stored with a one-line reason.</w:t>
      </w:r>
    </w:p>
    <w:p>
      <w:pPr>
        <w:pStyle w:val="Heading2"/>
        <w:spacing w:after="100" w:before="220"/>
      </w:pPr>
      <w:bookmarkStart w:name="_Toc11" w:id="11"/>
      <w:r>
        <w:rPr>
          <w:b/>
          <w:bCs/>
          <w:color w:val="4F46E5"/>
        </w:rPr>
        <w:t xml:space="preserve">6.3 Placement preparation</w:t>
      </w:r>
      <w:bookmarkEnd w:id="11"/>
    </w:p>
    <w:p>
      <w:pPr>
        <w:spacing w:after="120" w:line="276"/>
      </w:pPr>
      <w:r>
        <w:rPr>
          <w:color w:val="18181B"/>
        </w:rPr>
        <w:t xml:space="preserve">For final-year students, the skills required by upcoming drives they are eligible for (by CGPA and programme) are compared with the skills they list. Each missing skill is weighted by the package of the drives that need it and returned as a gap, naming the companies it would unlock.</w:t>
      </w:r>
    </w:p>
    <w:p>
      <w:pPr>
        <w:pStyle w:val="Heading2"/>
        <w:spacing w:after="100" w:before="220"/>
      </w:pPr>
      <w:bookmarkStart w:name="_Toc12" w:id="12"/>
      <w:r>
        <w:rPr>
          <w:b/>
          <w:bCs/>
          <w:color w:val="4F46E5"/>
        </w:rPr>
        <w:t xml:space="preserve">6.4 Classroom allocation</w:t>
      </w:r>
      <w:bookmarkEnd w:id="12"/>
    </w:p>
    <w:p>
      <w:pPr>
        <w:spacing w:after="120" w:line="276"/>
      </w:pPr>
      <w:r>
        <w:rPr>
          <w:color w:val="18181B"/>
        </w:rPr>
        <w:t xml:space="preserve">A CP-SAT constraint model (OR-Tools) assigns every timetable slot of the term a room with enough capacity for its enrolment and the right kind (labs to lab rooms), with no two overlapping slots in one room, minimising wasted seats. Runs are stored as proposals for a human to apply.</w:t>
      </w:r>
    </w:p>
    <w:p>
      <w:pPr>
        <w:pStyle w:val="Heading2"/>
        <w:spacing w:after="100" w:before="220"/>
      </w:pPr>
      <w:bookmarkStart w:name="_Toc13" w:id="13"/>
      <w:r>
        <w:rPr>
          <w:b/>
          <w:bCs/>
          <w:color w:val="4F46E5"/>
        </w:rPr>
        <w:t xml:space="preserve">6.5 Campus assistant</w:t>
      </w:r>
      <w:bookmarkEnd w:id="13"/>
    </w:p>
    <w:p>
      <w:pPr>
        <w:spacing w:after="120" w:line="276"/>
      </w:pPr>
      <w:r>
        <w:rPr>
          <w:color w:val="18181B"/>
        </w:rPr>
        <w:t xml:space="preserve">The assistant uses the Claude Messages API with tools: a knowledge-base search over policies and handbooks, and personal tools (attendance, timetable, results, events, bus routes) that query only the signed-in user's own rows. It answers from tool results and says so when it cannot.</w:t>
      </w:r>
    </w:p>
    <w:p>
      <w:pPr>
        <w:pStyle w:val="Heading1"/>
        <w:spacing w:after="140" w:before="320"/>
      </w:pPr>
      <w:bookmarkStart w:name="_Toc14" w:id="14"/>
      <w:r>
        <w:rPr>
          <w:b/>
          <w:bCs/>
          <w:color w:val="18181B"/>
        </w:rPr>
        <w:t xml:space="preserve">7. Realistic Seed Data</w:t>
      </w:r>
      <w:bookmarkEnd w:id="14"/>
    </w:p>
    <w:p>
      <w:pPr>
        <w:spacing w:after="120" w:line="276"/>
      </w:pPr>
      <w:r>
        <w:rPr>
          <w:color w:val="18181B"/>
        </w:rPr>
        <w:t xml:space="preserve">The system is populated with a believable campus so every feature has data to show: 2,040 students across six departments and four batches, 120 faculty, 93 rooms, a clash-free timetable, and a full term of attendance and marks.</w:t>
      </w:r>
    </w:p>
    <w:p>
      <w:pPr>
        <w:pStyle w:val="ListParagraph"/>
        <w:numPr>
          <w:ilvl w:val="0"/>
          <w:numId w:val="2"/>
        </w:numPr>
        <w:spacing w:after="60" w:line="268"/>
      </w:pPr>
      <w:r>
        <w:rPr>
          <w:color w:val="18181B"/>
        </w:rPr>
        <w:t xml:space="preserve">Attendance follows a real distribution — an 85% average with a roughly 15% defaulter tail below 75%, not an implausible even spread.</w:t>
      </w:r>
    </w:p>
    <w:p>
      <w:pPr>
        <w:pStyle w:val="ListParagraph"/>
        <w:numPr>
          <w:ilvl w:val="0"/>
          <w:numId w:val="2"/>
        </w:numPr>
        <w:spacing w:after="60" w:line="268"/>
      </w:pPr>
      <w:r>
        <w:rPr>
          <w:color w:val="18181B"/>
        </w:rPr>
        <w:t xml:space="preserve">Grades come from weighted marks and map to a sensible spread (few failures, a long upper tail).</w:t>
      </w:r>
    </w:p>
    <w:p>
      <w:pPr>
        <w:pStyle w:val="ListParagraph"/>
        <w:numPr>
          <w:ilvl w:val="0"/>
          <w:numId w:val="2"/>
        </w:numPr>
        <w:spacing w:after="60" w:line="268"/>
      </w:pPr>
      <w:r>
        <w:rPr>
          <w:color w:val="18181B"/>
        </w:rPr>
        <w:t xml:space="preserve">Predictions and recommendations are generated from this data so no screen shows an empty 'not assessed' state.</w:t>
      </w:r>
    </w:p>
    <w:p>
      <w:pPr>
        <w:pStyle w:val="ListParagraph"/>
        <w:numPr>
          <w:ilvl w:val="0"/>
          <w:numId w:val="2"/>
        </w:numPr>
        <w:spacing w:after="60" w:line="268"/>
      </w:pPr>
      <w:r>
        <w:rPr>
          <w:color w:val="18181B"/>
        </w:rPr>
        <w:t xml:space="preserve">Every student and staff member has a working login; demo credentials are kept out of the interface.</w:t>
      </w:r>
    </w:p>
    <w:p>
      <w:pPr>
        <w:pStyle w:val="Heading1"/>
        <w:spacing w:after="140" w:before="320"/>
      </w:pPr>
      <w:bookmarkStart w:name="_Toc15" w:id="15"/>
      <w:r>
        <w:rPr>
          <w:b/>
          <w:bCs/>
          <w:color w:val="18181B"/>
        </w:rPr>
        <w:t xml:space="preserve">8. Web Application Behaviour</w:t>
      </w:r>
      <w:bookmarkEnd w:id="15"/>
    </w:p>
    <w:p>
      <w:pPr>
        <w:pStyle w:val="ListParagraph"/>
        <w:numPr>
          <w:ilvl w:val="0"/>
          <w:numId w:val="2"/>
        </w:numPr>
        <w:spacing w:after="60" w:line="268"/>
      </w:pPr>
      <w:r>
        <w:rPr>
          <w:color w:val="18181B"/>
        </w:rPr>
        <w:t xml:space="preserve">Server components fetch data; the session is verified locally (getClaims) and the profile is cached per request, so navigation does not pay repeated auth round-trips.</w:t>
      </w:r>
    </w:p>
    <w:p>
      <w:pPr>
        <w:pStyle w:val="ListParagraph"/>
        <w:numPr>
          <w:ilvl w:val="0"/>
          <w:numId w:val="2"/>
        </w:numPr>
        <w:spacing w:after="60" w:line="268"/>
      </w:pPr>
      <w:r>
        <w:rPr>
          <w:color w:val="18181B"/>
        </w:rPr>
        <w:t xml:space="preserve">Every record is clickable through to a detail page that resolves foreign keys to names — no raw identifiers or timestamps are shown.</w:t>
      </w:r>
    </w:p>
    <w:p>
      <w:pPr>
        <w:pStyle w:val="ListParagraph"/>
        <w:numPr>
          <w:ilvl w:val="0"/>
          <w:numId w:val="2"/>
        </w:numPr>
        <w:spacing w:after="60" w:line="268"/>
      </w:pPr>
      <w:r>
        <w:rPr>
          <w:color w:val="18181B"/>
        </w:rPr>
        <w:t xml:space="preserve">A shared ModuleDetail component backs both the generic detail route and the dedicated faculty, placements, grievances and timetable detail routes, so no record type dead-ends.</w:t>
      </w:r>
    </w:p>
    <w:p>
      <w:pPr>
        <w:pStyle w:val="ListParagraph"/>
        <w:numPr>
          <w:ilvl w:val="0"/>
          <w:numId w:val="2"/>
        </w:numPr>
        <w:spacing w:after="60" w:line="268"/>
      </w:pPr>
      <w:r>
        <w:rPr>
          <w:color w:val="18181B"/>
        </w:rPr>
        <w:t xml:space="preserve">The header shows the current academic term and teaching week on every page.</w:t>
      </w:r>
    </w:p>
    <w:p>
      <w:pPr>
        <w:pStyle w:val="ListParagraph"/>
        <w:numPr>
          <w:ilvl w:val="0"/>
          <w:numId w:val="2"/>
        </w:numPr>
        <w:spacing w:after="60" w:line="268"/>
      </w:pPr>
      <w:r>
        <w:rPr>
          <w:color w:val="18181B"/>
        </w:rPr>
        <w:t xml:space="preserve">The interface is a single light theme, built to work down to phone width.</w:t>
      </w:r>
    </w:p>
    <w:p>
      <w:pPr>
        <w:pStyle w:val="Heading1"/>
        <w:spacing w:after="140" w:before="320"/>
      </w:pPr>
      <w:bookmarkStart w:name="_Toc16" w:id="16"/>
      <w:r>
        <w:rPr>
          <w:b/>
          <w:bCs/>
          <w:color w:val="18181B"/>
        </w:rPr>
        <w:t xml:space="preserve">9. Running the System</w:t>
      </w:r>
      <w:bookmarkEnd w:id="16"/>
    </w:p>
    <w:p>
      <w:pPr>
        <w:spacing w:after="120" w:line="276"/>
      </w:pPr>
      <w:r>
        <w:rPr>
          <w:color w:val="18181B"/>
        </w:rPr>
        <w:t xml:space="preserve">Database: the schema (supabase/migrations) and seed (supabase/seed, run 01–06 in order) recreate everything. Web: cd web, copy .env.example, npm install, npm run dev. Intelligence: cd ml, create a virtualenv, pip install -e ".[dev]", set ANTHROPIC_API_KEY and DATABASE_URL, then uvicorn edubase_ml.main:app.</w:t>
      </w:r>
    </w:p>
    <w:p>
      <w:pPr>
        <w:spacing w:after="120" w:line="276"/>
      </w:pPr>
      <w:r>
        <w:rPr>
          <w:i/>
          <w:iCs/>
          <w:color w:val="18181B"/>
        </w:rPr>
        <w:t xml:space="preserve">All seeded accounts use a shared password held outside the application. The assistant and room-allocation features require the Python service to be running with an Anthropic API key; until then the rest of the system is fully functional.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rPr>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b/>
      <w:bCs/>
      <w:color w:val="18181B"/>
      <w:sz w:val="30"/>
      <w:szCs w:val="30"/>
    </w:rPr>
  </w:style>
  <w:style w:type="paragraph" w:styleId="Heading2">
    <w:name w:val="Heading 2"/>
    <w:basedOn w:val="Normal"/>
    <w:next w:val="Normal"/>
    <w:qFormat/>
    <w:pPr>
      <w:outlineLvl w:val="1"/>
    </w:pPr>
    <w:rPr>
      <w:b/>
      <w:bCs/>
      <w:color w:val="4F46E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EduBase — System Design and Logic</dc:title>
  <dc:creator>sandeepmk2006</dc:creator>
  <cp:lastModifiedBy>Un-named</cp:lastModifiedBy>
  <cp:revision>1</cp:revision>
  <dcterms:created xsi:type="dcterms:W3CDTF">2026-10-27T18:43:16.317Z</dcterms:created>
  <dcterms:modified xsi:type="dcterms:W3CDTF">2026-10-27T18:43:16.318Z</dcterms:modified>
</cp:coreProperties>
</file>

<file path=docProps/custom.xml><?xml version="1.0" encoding="utf-8"?>
<Properties xmlns="http://schemas.openxmlformats.org/officeDocument/2006/custom-properties" xmlns:vt="http://schemas.openxmlformats.org/officeDocument/2006/docPropsVTypes"/>
</file>