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1988B" w14:textId="74072F84" w:rsidR="00632EB0" w:rsidRPr="0069551A" w:rsidRDefault="0069551A">
      <w:pPr>
        <w:rPr>
          <w:b/>
          <w:bCs/>
        </w:rPr>
      </w:pPr>
      <w:r w:rsidRPr="0069551A">
        <w:rPr>
          <w:b/>
          <w:bCs/>
        </w:rPr>
        <w:t>Exercise 1: Explicit criteria to cut false positives (S1) ~15 min</w:t>
      </w:r>
    </w:p>
    <w:p w14:paraId="7741B491" w14:textId="77777777" w:rsidR="0069551A" w:rsidRDefault="0069551A">
      <w:r w:rsidRPr="0069551A">
        <w:t xml:space="preserve">Reflection Questions </w:t>
      </w:r>
    </w:p>
    <w:p w14:paraId="0CB4C894" w14:textId="50E2B892" w:rsidR="0069551A" w:rsidRDefault="0069551A" w:rsidP="0069551A">
      <w:pPr>
        <w:pStyle w:val="ListParagraph"/>
        <w:numPr>
          <w:ilvl w:val="0"/>
          <w:numId w:val="6"/>
        </w:numPr>
      </w:pPr>
      <w:r w:rsidRPr="0069551A">
        <w:t xml:space="preserve">Why does a vague “remove / review / allow” prompt over-fire remove, and how do explicit definitions cut false positives? </w:t>
      </w:r>
      <w:r w:rsidR="004F3C22">
        <w:rPr>
          <w:color w:val="FF0000"/>
        </w:rPr>
        <w:t xml:space="preserve">&lt;Response&gt; Yes, instead of 3 expected removes, it was used 4 time (1 wrong call). Explicit definitions improved accuracy from 5 to 7, and also eliminated wrong remove calls. </w:t>
      </w:r>
    </w:p>
    <w:p w14:paraId="4DCF408C" w14:textId="089F9400" w:rsidR="0069551A" w:rsidRDefault="0069551A" w:rsidP="0069551A">
      <w:pPr>
        <w:pStyle w:val="ListParagraph"/>
        <w:numPr>
          <w:ilvl w:val="0"/>
          <w:numId w:val="6"/>
        </w:numPr>
      </w:pPr>
      <w:r w:rsidRPr="0069551A">
        <w:t xml:space="preserve">The explicit prompt says “if unsure between remove and review, choose review.” Why bake in that tie-breaker, and what cost asymmetry does it encode? </w:t>
      </w:r>
      <w:r w:rsidR="004F3C22" w:rsidRPr="004F3C22">
        <w:rPr>
          <w:color w:val="FF0000"/>
        </w:rPr>
        <w:t xml:space="preserve">&lt;Response&gt; Because </w:t>
      </w:r>
      <w:r w:rsidR="004F3C22">
        <w:rPr>
          <w:color w:val="FF0000"/>
        </w:rPr>
        <w:t xml:space="preserve">it is better to have a human review that remove the post, because it is wrong to finalize that the post was actually harmful. The cost asymmetry here is that removing a legitimate post penalizing a good faith user.  </w:t>
      </w:r>
    </w:p>
    <w:p w14:paraId="6FA1AD4D" w14:textId="070FDD6F" w:rsidR="0069551A" w:rsidRDefault="0069551A" w:rsidP="0069551A">
      <w:pPr>
        <w:pStyle w:val="ListParagraph"/>
        <w:numPr>
          <w:ilvl w:val="0"/>
          <w:numId w:val="6"/>
        </w:numPr>
      </w:pPr>
      <w:r w:rsidRPr="0069551A">
        <w:t>Accuracy and the false-“remove” count are tracked separately. Why measure the false-positive count, not just overall accuracy?</w:t>
      </w:r>
      <w:r w:rsidRPr="004F3C22">
        <w:rPr>
          <w:color w:val="FF0000"/>
        </w:rPr>
        <w:t xml:space="preserve"> </w:t>
      </w:r>
      <w:r w:rsidR="004F3C22" w:rsidRPr="004F3C22">
        <w:rPr>
          <w:color w:val="FF0000"/>
        </w:rPr>
        <w:t xml:space="preserve">&lt;Response&gt; Because overall accuracy or aggregation hides the failure aspect that matters. The cost asymmetry here is an example that the failures differ in impact, so its important to separately attribute them. </w:t>
      </w:r>
    </w:p>
    <w:p w14:paraId="7673BF47" w14:textId="4443946B" w:rsidR="0069551A" w:rsidRPr="0069551A" w:rsidRDefault="0069551A">
      <w:pPr>
        <w:rPr>
          <w:b/>
          <w:bCs/>
        </w:rPr>
      </w:pPr>
      <w:r w:rsidRPr="0069551A">
        <w:rPr>
          <w:b/>
          <w:bCs/>
        </w:rPr>
        <w:t>Exercise 2: Few-shot examples to lock consistent output (S2) ~12 min</w:t>
      </w:r>
    </w:p>
    <w:p w14:paraId="587AEAD3" w14:textId="77777777" w:rsidR="0069551A" w:rsidRDefault="0069551A">
      <w:r w:rsidRPr="0069551A">
        <w:t xml:space="preserve">Reflection Questions </w:t>
      </w:r>
    </w:p>
    <w:p w14:paraId="625AD9EF" w14:textId="43D9D5B7" w:rsidR="0069551A" w:rsidRDefault="0069551A" w:rsidP="0069551A">
      <w:pPr>
        <w:pStyle w:val="ListParagraph"/>
        <w:numPr>
          <w:ilvl w:val="0"/>
          <w:numId w:val="4"/>
        </w:numPr>
      </w:pPr>
      <w:r w:rsidRPr="0069551A">
        <w:t xml:space="preserve">The instruction already says “respond as ACTION | rationale.” Why do few-shot examples lock the format better than the instruction alone? </w:t>
      </w:r>
      <w:r w:rsidR="002E17B9">
        <w:rPr>
          <w:color w:val="FF0000"/>
        </w:rPr>
        <w:t xml:space="preserve">&lt;Response&gt; Few shot example can show the scenarios and help agent make better decisions, for example the attack on an idea (rather than a person) was allowed in the few shot example and a similar case was allowed where as a zero shot marked it for review. </w:t>
      </w:r>
    </w:p>
    <w:p w14:paraId="6A11D1FA" w14:textId="53E15F2F" w:rsidR="0069551A" w:rsidRDefault="0069551A" w:rsidP="0069551A">
      <w:pPr>
        <w:pStyle w:val="ListParagraph"/>
        <w:numPr>
          <w:ilvl w:val="0"/>
          <w:numId w:val="4"/>
        </w:numPr>
      </w:pPr>
      <w:r w:rsidRPr="0069551A">
        <w:t xml:space="preserve">How many examples should you use, and what should they cover to be most useful? </w:t>
      </w:r>
      <w:r w:rsidR="002E17B9">
        <w:rPr>
          <w:color w:val="FF0000"/>
        </w:rPr>
        <w:t>&lt;</w:t>
      </w:r>
      <w:r w:rsidR="001A4E7C">
        <w:rPr>
          <w:color w:val="FF0000"/>
        </w:rPr>
        <w:t xml:space="preserve">Response&gt; </w:t>
      </w:r>
      <w:r w:rsidR="002E17B9">
        <w:rPr>
          <w:color w:val="FF0000"/>
        </w:rPr>
        <w:t>3-5 examples, and they should be covering typical cases, edge cases, and boundary scenarios</w:t>
      </w:r>
      <w:r w:rsidR="001A4E7C">
        <w:rPr>
          <w:color w:val="FF0000"/>
        </w:rPr>
        <w:t xml:space="preserve"> to have a good mix. </w:t>
      </w:r>
    </w:p>
    <w:p w14:paraId="133D03BB" w14:textId="4ECE4BCF" w:rsidR="0069551A" w:rsidRDefault="0069551A" w:rsidP="0069551A">
      <w:pPr>
        <w:pStyle w:val="ListParagraph"/>
        <w:numPr>
          <w:ilvl w:val="0"/>
          <w:numId w:val="4"/>
        </w:numPr>
      </w:pPr>
      <w:r w:rsidRPr="0069551A">
        <w:t xml:space="preserve">Format compliance is scored with a strict regex, separate from whether the decision is correct. Why measure format independently? </w:t>
      </w:r>
      <w:r w:rsidR="001A4E7C" w:rsidRPr="001A4E7C">
        <w:rPr>
          <w:color w:val="FF0000"/>
        </w:rPr>
        <w:t>&lt;Response&gt; Format and decision are 2 separate things and if we combine both we may get an aggregate</w:t>
      </w:r>
      <w:r w:rsidR="001A4E7C">
        <w:rPr>
          <w:color w:val="FF0000"/>
        </w:rPr>
        <w:t xml:space="preserve"> that cannot point to what was actually the problem</w:t>
      </w:r>
      <w:r w:rsidR="001A4E7C" w:rsidRPr="001A4E7C">
        <w:rPr>
          <w:color w:val="FF0000"/>
        </w:rPr>
        <w:t xml:space="preserve">. </w:t>
      </w:r>
    </w:p>
    <w:p w14:paraId="2BD3364D" w14:textId="3395C1EA" w:rsidR="0069551A" w:rsidRPr="0069551A" w:rsidRDefault="0069551A" w:rsidP="0069551A">
      <w:pPr>
        <w:rPr>
          <w:b/>
          <w:bCs/>
        </w:rPr>
      </w:pPr>
      <w:r w:rsidRPr="0069551A">
        <w:rPr>
          <w:b/>
          <w:bCs/>
        </w:rPr>
        <w:t>Exercise 3: Generalizing beyond the examples shown (S2) ~13 min</w:t>
      </w:r>
    </w:p>
    <w:p w14:paraId="54A27687" w14:textId="77777777" w:rsidR="0069551A" w:rsidRDefault="0069551A">
      <w:r w:rsidRPr="0069551A">
        <w:t xml:space="preserve">Reflection Questions </w:t>
      </w:r>
    </w:p>
    <w:p w14:paraId="505B7CCE" w14:textId="5746A43F" w:rsidR="0069551A" w:rsidRDefault="0069551A" w:rsidP="0069551A">
      <w:pPr>
        <w:pStyle w:val="ListParagraph"/>
        <w:numPr>
          <w:ilvl w:val="0"/>
          <w:numId w:val="2"/>
        </w:numPr>
      </w:pPr>
      <w:r w:rsidRPr="0069551A">
        <w:lastRenderedPageBreak/>
        <w:t xml:space="preserve">The examples teach the format; what does the short “principles” block add, and why is it needed for unseen cases? </w:t>
      </w:r>
      <w:r w:rsidR="0071773D" w:rsidRPr="0071773D">
        <w:rPr>
          <w:color w:val="FF0000"/>
        </w:rPr>
        <w:t>&lt;Response&gt; Principles add decision criteria and not format criteria, so unseen cases can be captured</w:t>
      </w:r>
    </w:p>
    <w:p w14:paraId="1D51772D" w14:textId="5C08E53C" w:rsidR="0069551A" w:rsidRDefault="0069551A" w:rsidP="0069551A">
      <w:pPr>
        <w:pStyle w:val="ListParagraph"/>
        <w:numPr>
          <w:ilvl w:val="0"/>
          <w:numId w:val="2"/>
        </w:numPr>
      </w:pPr>
      <w:r w:rsidRPr="0069551A">
        <w:t xml:space="preserve">The “public press number = allow” but “private address as a joke = remove” cases hinge on context the examples never showed. How do the principles get them right? </w:t>
      </w:r>
      <w:r w:rsidR="0071773D" w:rsidRPr="0071773D">
        <w:rPr>
          <w:color w:val="FF0000"/>
        </w:rPr>
        <w:t xml:space="preserve">&lt;Response&gt; </w:t>
      </w:r>
      <w:r w:rsidR="0071773D" w:rsidRPr="0071773D">
        <w:rPr>
          <w:color w:val="FF0000"/>
        </w:rPr>
        <w:t xml:space="preserve">Principles </w:t>
      </w:r>
      <w:r w:rsidR="0071773D" w:rsidRPr="0071773D">
        <w:rPr>
          <w:color w:val="FF0000"/>
        </w:rPr>
        <w:t xml:space="preserve">specify </w:t>
      </w:r>
      <w:r w:rsidR="0071773D" w:rsidRPr="0071773D">
        <w:rPr>
          <w:color w:val="FF0000"/>
        </w:rPr>
        <w:t xml:space="preserve">"private vs. public" and "intent doesn't excuse doxxing," so those exact distinctions </w:t>
      </w:r>
      <w:r w:rsidR="0071773D" w:rsidRPr="0071773D">
        <w:rPr>
          <w:color w:val="FF0000"/>
        </w:rPr>
        <w:t xml:space="preserve">are made. </w:t>
      </w:r>
    </w:p>
    <w:p w14:paraId="63CB6F4E" w14:textId="4D70D7D5" w:rsidR="0069551A" w:rsidRDefault="0069551A" w:rsidP="0069551A">
      <w:pPr>
        <w:pStyle w:val="ListParagraph"/>
        <w:numPr>
          <w:ilvl w:val="0"/>
          <w:numId w:val="2"/>
        </w:numPr>
      </w:pPr>
      <w:r w:rsidRPr="0069551A">
        <w:t>The scorer extracts the action with a regex on the ACTION | line rather than split("|")[0]. Why does robust parsing matter here?</w:t>
      </w:r>
      <w:r w:rsidR="0071773D" w:rsidRPr="0071773D">
        <w:t xml:space="preserve"> </w:t>
      </w:r>
      <w:r w:rsidR="0071773D" w:rsidRPr="0071773D">
        <w:rPr>
          <w:color w:val="FF0000"/>
        </w:rPr>
        <w:t xml:space="preserve">&lt;Response&gt; </w:t>
      </w:r>
      <w:r w:rsidR="0071773D" w:rsidRPr="0071773D">
        <w:rPr>
          <w:color w:val="FF0000"/>
        </w:rPr>
        <w:t>Regex tolerates extra text</w:t>
      </w:r>
      <w:r w:rsidR="0071773D">
        <w:rPr>
          <w:color w:val="FF0000"/>
        </w:rPr>
        <w:t xml:space="preserve"> at the beginning (if Claude produces that)</w:t>
      </w:r>
      <w:r w:rsidR="0071773D" w:rsidRPr="0071773D">
        <w:rPr>
          <w:color w:val="FF0000"/>
        </w:rPr>
        <w:t>, so a correct answer isn't wrongly scored just because it's not at the very start.</w:t>
      </w:r>
    </w:p>
    <w:sectPr w:rsidR="00695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8235E"/>
    <w:multiLevelType w:val="hybridMultilevel"/>
    <w:tmpl w:val="2D0A3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AE4655"/>
    <w:multiLevelType w:val="hybridMultilevel"/>
    <w:tmpl w:val="1DBE78AA"/>
    <w:lvl w:ilvl="0" w:tplc="413E67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AE4C2D"/>
    <w:multiLevelType w:val="hybridMultilevel"/>
    <w:tmpl w:val="74684F4C"/>
    <w:lvl w:ilvl="0" w:tplc="413E67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3C0EE2"/>
    <w:multiLevelType w:val="hybridMultilevel"/>
    <w:tmpl w:val="2D4C05B8"/>
    <w:lvl w:ilvl="0" w:tplc="413E67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520B85"/>
    <w:multiLevelType w:val="hybridMultilevel"/>
    <w:tmpl w:val="5C1621D6"/>
    <w:lvl w:ilvl="0" w:tplc="413E67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BE7C42"/>
    <w:multiLevelType w:val="hybridMultilevel"/>
    <w:tmpl w:val="D75C84EA"/>
    <w:lvl w:ilvl="0" w:tplc="413E67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2318588">
    <w:abstractNumId w:val="0"/>
  </w:num>
  <w:num w:numId="2" w16cid:durableId="1115710491">
    <w:abstractNumId w:val="2"/>
  </w:num>
  <w:num w:numId="3" w16cid:durableId="1101222293">
    <w:abstractNumId w:val="4"/>
  </w:num>
  <w:num w:numId="4" w16cid:durableId="837575449">
    <w:abstractNumId w:val="1"/>
  </w:num>
  <w:num w:numId="5" w16cid:durableId="1998535462">
    <w:abstractNumId w:val="3"/>
  </w:num>
  <w:num w:numId="6" w16cid:durableId="1831338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51A"/>
    <w:rsid w:val="001A4E7C"/>
    <w:rsid w:val="002E17B9"/>
    <w:rsid w:val="00486475"/>
    <w:rsid w:val="004F37DF"/>
    <w:rsid w:val="004F3C22"/>
    <w:rsid w:val="00632EB0"/>
    <w:rsid w:val="0069551A"/>
    <w:rsid w:val="0071773D"/>
    <w:rsid w:val="00D246FF"/>
    <w:rsid w:val="00E47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69A8"/>
  <w15:chartTrackingRefBased/>
  <w15:docId w15:val="{B7F45874-D162-4A39-82B8-9D6BB2EDB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51A"/>
    <w:rPr>
      <w:rFonts w:eastAsiaTheme="majorEastAsia" w:cstheme="majorBidi"/>
      <w:color w:val="272727" w:themeColor="text1" w:themeTint="D8"/>
    </w:rPr>
  </w:style>
  <w:style w:type="paragraph" w:styleId="Title">
    <w:name w:val="Title"/>
    <w:basedOn w:val="Normal"/>
    <w:next w:val="Normal"/>
    <w:link w:val="TitleChar"/>
    <w:uiPriority w:val="10"/>
    <w:qFormat/>
    <w:rsid w:val="00695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51A"/>
    <w:pPr>
      <w:spacing w:before="160"/>
      <w:jc w:val="center"/>
    </w:pPr>
    <w:rPr>
      <w:i/>
      <w:iCs/>
      <w:color w:val="404040" w:themeColor="text1" w:themeTint="BF"/>
    </w:rPr>
  </w:style>
  <w:style w:type="character" w:customStyle="1" w:styleId="QuoteChar">
    <w:name w:val="Quote Char"/>
    <w:basedOn w:val="DefaultParagraphFont"/>
    <w:link w:val="Quote"/>
    <w:uiPriority w:val="29"/>
    <w:rsid w:val="0069551A"/>
    <w:rPr>
      <w:i/>
      <w:iCs/>
      <w:color w:val="404040" w:themeColor="text1" w:themeTint="BF"/>
    </w:rPr>
  </w:style>
  <w:style w:type="paragraph" w:styleId="ListParagraph">
    <w:name w:val="List Paragraph"/>
    <w:basedOn w:val="Normal"/>
    <w:uiPriority w:val="34"/>
    <w:qFormat/>
    <w:rsid w:val="0069551A"/>
    <w:pPr>
      <w:ind w:left="720"/>
      <w:contextualSpacing/>
    </w:pPr>
  </w:style>
  <w:style w:type="character" w:styleId="IntenseEmphasis">
    <w:name w:val="Intense Emphasis"/>
    <w:basedOn w:val="DefaultParagraphFont"/>
    <w:uiPriority w:val="21"/>
    <w:qFormat/>
    <w:rsid w:val="0069551A"/>
    <w:rPr>
      <w:i/>
      <w:iCs/>
      <w:color w:val="0F4761" w:themeColor="accent1" w:themeShade="BF"/>
    </w:rPr>
  </w:style>
  <w:style w:type="paragraph" w:styleId="IntenseQuote">
    <w:name w:val="Intense Quote"/>
    <w:basedOn w:val="Normal"/>
    <w:next w:val="Normal"/>
    <w:link w:val="IntenseQuoteChar"/>
    <w:uiPriority w:val="30"/>
    <w:qFormat/>
    <w:rsid w:val="00695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51A"/>
    <w:rPr>
      <w:i/>
      <w:iCs/>
      <w:color w:val="0F4761" w:themeColor="accent1" w:themeShade="BF"/>
    </w:rPr>
  </w:style>
  <w:style w:type="character" w:styleId="IntenseReference">
    <w:name w:val="Intense Reference"/>
    <w:basedOn w:val="DefaultParagraphFont"/>
    <w:uiPriority w:val="32"/>
    <w:qFormat/>
    <w:rsid w:val="00695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2</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Nair</dc:creator>
  <cp:keywords/>
  <dc:description/>
  <cp:lastModifiedBy>Sandeep Nair</cp:lastModifiedBy>
  <cp:revision>1</cp:revision>
  <dcterms:created xsi:type="dcterms:W3CDTF">2026-07-18T07:59:00Z</dcterms:created>
  <dcterms:modified xsi:type="dcterms:W3CDTF">2026-07-18T10:30:00Z</dcterms:modified>
</cp:coreProperties>
</file>