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567"/>
          <w:tab w:val="left" w:pos="1134" w:leader="none"/>
        </w:tabs>
        <w:spacing w:before="240" w:after="160"/>
        <w:jc w:val="center"/>
        <w:rPr>
          <w:rFonts w:ascii="Montserrat" w:hAnsi="Montserrat"/>
          <w:color w:val="282033" w:themeColor="text1"/>
          <w:sz w:val="20"/>
          <w:szCs w:val="20"/>
        </w:rPr>
      </w:pPr>
      <w:r>
        <w:rPr>
          <w:rFonts w:ascii="Montserrat" w:hAnsi="Montserrat"/>
          <w:color w:val="282033" w:themeColor="text1"/>
          <w:sz w:val="20"/>
          <w:szCs w:val="20"/>
        </w:rPr>
        <w:t>Letter of Appointment</w:t>
      </w:r>
    </w:p>
    <w:p>
      <w:pPr>
        <w:pStyle w:val="Normal"/>
        <w:tabs>
          <w:tab w:val="clear" w:pos="567"/>
          <w:tab w:val="left" w:pos="1134" w:leader="none"/>
        </w:tabs>
        <w:spacing w:before="0" w:after="443"/>
        <w:ind w:left="11" w:right="720" w:hanging="0"/>
        <w:rPr>
          <w:szCs w:val="20"/>
        </w:rPr>
      </w:pPr>
      <w:r>
        <w:rPr>
          <w:szCs w:val="20"/>
        </w:rPr>
        <w:t xml:space="preserve">To, </w:t>
      </w:r>
    </w:p>
    <w:p>
      <w:pPr>
        <w:pStyle w:val="Normal"/>
        <w:tabs>
          <w:tab w:val="clear" w:pos="567"/>
          <w:tab w:val="left" w:pos="1134" w:leader="none"/>
        </w:tabs>
        <w:rPr>
          <w:szCs w:val="20"/>
          <w:lang w:val="en-US" w:eastAsia="en-IN"/>
        </w:rPr>
      </w:pPr>
      <w:r>
        <w:rPr>
          <w:b/>
          <w:szCs w:val="20"/>
        </w:rPr>
        <w:t>&lt;&lt;Full Name&gt;&gt;</w:t>
      </w:r>
      <w:r>
        <w:rPr>
          <w:b/>
          <w:szCs w:val="20"/>
          <w:lang w:val="en-US"/>
        </w:rPr>
        <w:t xml:space="preserve">, </w:t>
      </w:r>
    </w:p>
    <w:p>
      <w:pPr>
        <w:pStyle w:val="Normal"/>
        <w:tabs>
          <w:tab w:val="clear" w:pos="567"/>
          <w:tab w:val="left" w:pos="1134" w:leader="none"/>
        </w:tabs>
        <w:spacing w:before="0" w:after="16"/>
        <w:ind w:right="252" w:hanging="0"/>
        <w:jc w:val="right"/>
        <w:rPr>
          <w:szCs w:val="20"/>
          <w:lang w:val="en-US"/>
        </w:rPr>
      </w:pPr>
      <w:r>
        <w:rPr>
          <w:b w:val="false"/>
          <w:bCs w:val="false"/>
          <w:szCs w:val="20"/>
          <w:lang w:val="en-US"/>
        </w:rPr>
        <w:t>Date:</w:t>
      </w:r>
      <w:r>
        <w:rPr>
          <w:szCs w:val="20"/>
          <w:lang w:val="en-US"/>
        </w:rPr>
        <w:t xml:space="preserve"> </w:t>
      </w:r>
      <w:r>
        <w:rPr>
          <w:szCs w:val="20"/>
        </w:rPr>
        <w:t>&lt;&lt;DOJ dd/MM/YYYY&gt;&gt;</w:t>
      </w:r>
    </w:p>
    <w:p>
      <w:pPr>
        <w:pStyle w:val="Normal"/>
        <w:tabs>
          <w:tab w:val="clear" w:pos="567"/>
          <w:tab w:val="left" w:pos="1134" w:leader="none"/>
        </w:tabs>
        <w:spacing w:lineRule="auto" w:line="264" w:before="0" w:after="212"/>
        <w:ind w:left="12" w:hanging="0"/>
        <w:rPr>
          <w:szCs w:val="20"/>
          <w:lang w:val="en-US"/>
        </w:rPr>
      </w:pPr>
      <w:r>
        <w:rPr>
          <w:b w:val="false"/>
          <w:bCs w:val="false"/>
          <w:szCs w:val="20"/>
        </w:rPr>
        <w:t xml:space="preserve">Employee Code: </w:t>
      </w:r>
      <w:r>
        <w:rPr>
          <w:b/>
          <w:szCs w:val="20"/>
        </w:rPr>
        <w:t>&lt;&lt;Emp ID&gt;&gt;</w:t>
      </w:r>
    </w:p>
    <w:p>
      <w:pPr>
        <w:pStyle w:val="Normal"/>
        <w:tabs>
          <w:tab w:val="clear" w:pos="567"/>
          <w:tab w:val="left" w:pos="1134" w:leader="none"/>
        </w:tabs>
        <w:spacing w:before="0" w:after="286"/>
        <w:ind w:left="11" w:right="720" w:hanging="0"/>
        <w:rPr>
          <w:b/>
          <w:b/>
          <w:szCs w:val="20"/>
        </w:rPr>
      </w:pPr>
      <w:r>
        <w:rPr>
          <w:szCs w:val="20"/>
        </w:rPr>
        <w:t xml:space="preserve">We are pleased to appoint you as </w:t>
      </w:r>
      <w:r>
        <w:rPr>
          <w:b/>
          <w:bCs/>
          <w:szCs w:val="20"/>
        </w:rPr>
        <w:t xml:space="preserve">&lt;&lt;Designation&gt;&gt;, </w:t>
      </w:r>
      <w:r>
        <w:rPr>
          <w:szCs w:val="20"/>
        </w:rPr>
        <w:t>at our organization Affine Analytics Pvt. Ltd. with effect from</w:t>
      </w:r>
      <w:r>
        <w:rPr>
          <w:b/>
          <w:bCs/>
          <w:szCs w:val="20"/>
        </w:rPr>
        <w:t xml:space="preserve"> &lt;&lt;DOJ dd/MM/YYYY&gt;&gt;</w:t>
      </w:r>
      <w:r>
        <w:rPr>
          <w:b/>
          <w:szCs w:val="20"/>
        </w:rPr>
        <w:t>.</w:t>
      </w:r>
    </w:p>
    <w:p>
      <w:pPr>
        <w:pStyle w:val="Normal"/>
        <w:tabs>
          <w:tab w:val="clear" w:pos="567"/>
          <w:tab w:val="left" w:pos="1134" w:leader="none"/>
        </w:tabs>
        <w:ind w:left="11" w:right="720" w:hanging="0"/>
        <w:rPr>
          <w:szCs w:val="20"/>
        </w:rPr>
      </w:pPr>
      <w:r>
        <w:rPr>
          <w:szCs w:val="20"/>
        </w:rPr>
        <w:t xml:space="preserve">Your offer has been made based on information (education and past experiences) furnished by you. The terms of employment is provided in Annexure 1. The position specifics are:   </w:t>
      </w:r>
    </w:p>
    <w:p>
      <w:pPr>
        <w:pStyle w:val="Normal"/>
        <w:tabs>
          <w:tab w:val="clear" w:pos="567"/>
          <w:tab w:val="left" w:pos="1134" w:leader="none"/>
        </w:tabs>
        <w:ind w:left="11" w:right="720" w:hanging="0"/>
        <w:rPr>
          <w:szCs w:val="20"/>
        </w:rPr>
      </w:pPr>
      <w:r>
        <w:rPr>
          <w:szCs w:val="20"/>
        </w:rPr>
      </w:r>
    </w:p>
    <w:p>
      <w:pPr>
        <w:pStyle w:val="Normal"/>
        <w:spacing w:before="0" w:after="103"/>
        <w:ind w:left="16" w:hanging="0"/>
        <w:rPr>
          <w:b/>
          <w:b/>
          <w:szCs w:val="20"/>
        </w:rPr>
      </w:pPr>
      <w:r>
        <w:rPr>
          <w:b w:val="false"/>
          <w:bCs w:val="false"/>
          <w:szCs w:val="20"/>
        </w:rPr>
        <w:t>Designation:</w:t>
      </w:r>
      <w:r>
        <w:rPr>
          <w:b/>
          <w:szCs w:val="20"/>
        </w:rPr>
        <w:t xml:space="preserve"> </w:t>
      </w:r>
      <w:r>
        <w:rPr>
          <w:b/>
          <w:bCs/>
          <w:szCs w:val="20"/>
        </w:rPr>
        <w:t>&lt;&lt;Designation&gt;&gt;,</w:t>
      </w:r>
    </w:p>
    <w:p>
      <w:pPr>
        <w:pStyle w:val="Normal"/>
        <w:spacing w:before="0" w:after="111"/>
        <w:ind w:left="11" w:right="720" w:hanging="0"/>
        <w:rPr>
          <w:szCs w:val="20"/>
        </w:rPr>
      </w:pPr>
      <w:r>
        <w:rPr>
          <w:szCs w:val="20"/>
        </w:rPr>
        <w:t xml:space="preserve">Total Cost to Company: </w:t>
      </w:r>
      <w:r>
        <w:rPr>
          <w:b/>
          <w:bCs/>
          <w:szCs w:val="20"/>
        </w:rPr>
        <w:t>INR &lt;&lt;CTC&gt;&gt;</w:t>
      </w:r>
      <w:r>
        <w:rPr>
          <w:b/>
          <w:szCs w:val="20"/>
        </w:rPr>
        <w:t>/-</w:t>
      </w:r>
      <w:r>
        <w:rPr>
          <w:szCs w:val="20"/>
        </w:rPr>
        <w:t xml:space="preserve"> (INR &lt;&lt;CTC in words&gt;&gt; only). The pay break-up and flexi pay details are provided in Schedule I.</w:t>
      </w:r>
      <w:r>
        <w:rPr>
          <w:b/>
          <w:szCs w:val="20"/>
        </w:rPr>
        <w:t xml:space="preserve"> </w:t>
      </w:r>
      <w:r>
        <w:rPr>
          <w:szCs w:val="20"/>
        </w:rPr>
        <w:t xml:space="preserve"> </w:t>
      </w:r>
    </w:p>
    <w:p>
      <w:pPr>
        <w:pStyle w:val="Normal"/>
        <w:spacing w:before="0" w:after="366"/>
        <w:ind w:left="11" w:right="720" w:hanging="0"/>
        <w:rPr>
          <w:szCs w:val="20"/>
        </w:rPr>
      </w:pPr>
      <w:r>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pPr>
        <w:pStyle w:val="Normal"/>
        <w:spacing w:before="0" w:after="361"/>
        <w:ind w:left="5" w:hanging="0"/>
        <w:rPr>
          <w:szCs w:val="20"/>
        </w:rPr>
      </w:pPr>
      <w:r>
        <w:rPr/>
        <w:drawing>
          <wp:inline distT="0" distB="0" distL="0" distR="0">
            <wp:extent cx="1219200" cy="704850"/>
            <wp:effectExtent l="0" t="0" r="0" b="0"/>
            <wp:docPr id="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 descr="Diagram&#10;&#10;Description automatically generated"/>
                    <pic:cNvPicPr>
                      <a:picLocks noChangeAspect="1" noChangeArrowheads="1"/>
                    </pic:cNvPicPr>
                  </pic:nvPicPr>
                  <pic:blipFill>
                    <a:blip r:embed="rId2"/>
                    <a:stretch>
                      <a:fillRect/>
                    </a:stretch>
                  </pic:blipFill>
                  <pic:spPr bwMode="auto">
                    <a:xfrm>
                      <a:off x="0" y="0"/>
                      <a:ext cx="1219200" cy="704850"/>
                    </a:xfrm>
                    <a:prstGeom prst="rect">
                      <a:avLst/>
                    </a:prstGeom>
                  </pic:spPr>
                </pic:pic>
              </a:graphicData>
            </a:graphic>
          </wp:inline>
        </w:drawing>
      </w:r>
    </w:p>
    <w:p>
      <w:pPr>
        <w:pStyle w:val="Normal"/>
        <w:spacing w:lineRule="auto" w:line="264" w:before="0" w:after="151"/>
        <w:ind w:left="12" w:hanging="0"/>
        <w:rPr>
          <w:szCs w:val="20"/>
        </w:rPr>
      </w:pPr>
      <w:r>
        <w:rPr>
          <w:b/>
          <w:szCs w:val="20"/>
        </w:rPr>
        <w:t xml:space="preserve">Saloni Singh </w:t>
      </w:r>
      <w:r>
        <w:rPr>
          <w:szCs w:val="20"/>
        </w:rPr>
        <w:t xml:space="preserve">  </w:t>
      </w:r>
    </w:p>
    <w:p>
      <w:pPr>
        <w:pStyle w:val="Normal"/>
        <w:spacing w:lineRule="auto" w:line="264" w:before="0" w:after="151"/>
        <w:ind w:left="12" w:hanging="0"/>
        <w:rPr>
          <w:szCs w:val="20"/>
        </w:rPr>
      </w:pPr>
      <w:r>
        <w:rPr>
          <w:b/>
          <w:szCs w:val="20"/>
        </w:rPr>
        <w:t>Director - HR</w:t>
      </w:r>
    </w:p>
    <w:p>
      <w:pPr>
        <w:pStyle w:val="Normal"/>
        <w:spacing w:lineRule="auto" w:line="264" w:before="0" w:after="151"/>
        <w:ind w:left="12" w:hanging="0"/>
        <w:rPr>
          <w:szCs w:val="20"/>
        </w:rPr>
      </w:pPr>
      <w:r>
        <w:rPr>
          <w:b/>
          <w:szCs w:val="20"/>
        </w:rPr>
        <w:t xml:space="preserve">Affine Analytics Pvt. Ltd. </w:t>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spacing w:lineRule="auto" w:line="264" w:before="0" w:after="241"/>
        <w:ind w:left="475" w:right="460" w:hanging="0"/>
        <w:jc w:val="center"/>
        <w:rPr>
          <w:szCs w:val="20"/>
        </w:rPr>
      </w:pPr>
      <w:r>
        <w:rPr>
          <w:b/>
          <w:szCs w:val="20"/>
        </w:rPr>
        <w:t>ANNEXURE 1</w:t>
      </w:r>
      <w:r>
        <w:rPr>
          <w:szCs w:val="20"/>
        </w:rPr>
        <w:t xml:space="preserve"> </w:t>
      </w:r>
    </w:p>
    <w:p>
      <w:pPr>
        <w:pStyle w:val="Heading1"/>
        <w:spacing w:before="240" w:after="140"/>
        <w:ind w:right="467" w:hanging="0"/>
        <w:jc w:val="center"/>
        <w:rPr>
          <w:rFonts w:ascii="Montserrat" w:hAnsi="Montserrat"/>
          <w:color w:val="282033" w:themeColor="text1"/>
          <w:sz w:val="20"/>
          <w:szCs w:val="20"/>
        </w:rPr>
      </w:pPr>
      <w:r>
        <w:rPr>
          <w:rFonts w:ascii="Montserrat" w:hAnsi="Montserrat"/>
          <w:color w:val="282033" w:themeColor="text1"/>
          <w:sz w:val="20"/>
          <w:szCs w:val="20"/>
        </w:rPr>
        <w:t>Employment Agreement</w:t>
      </w:r>
    </w:p>
    <w:p>
      <w:pPr>
        <w:pStyle w:val="Normal"/>
        <w:ind w:left="11" w:hanging="0"/>
        <w:rPr>
          <w:b/>
          <w:b/>
          <w:bCs/>
          <w:szCs w:val="20"/>
        </w:rPr>
      </w:pPr>
      <w:r>
        <w:rPr>
          <w:szCs w:val="20"/>
        </w:rPr>
        <w:t xml:space="preserve">This Employment Agreement (this </w:t>
      </w:r>
      <w:r>
        <w:rPr>
          <w:b/>
          <w:szCs w:val="20"/>
        </w:rPr>
        <w:t>“Agreement”</w:t>
      </w:r>
      <w:r>
        <w:rPr>
          <w:szCs w:val="20"/>
        </w:rPr>
        <w:t xml:space="preserve">) is executed on the </w:t>
      </w:r>
      <w:r>
        <w:rPr>
          <w:b/>
          <w:bCs/>
          <w:szCs w:val="20"/>
        </w:rPr>
        <w:t>&lt;&lt;DOJ dd/MM/YYYY&gt;&gt;</w:t>
      </w:r>
      <w:r>
        <w:rPr>
          <w:szCs w:val="20"/>
        </w:rPr>
        <w:t>, at Affine Analytics, Bengaluru.</w:t>
      </w:r>
    </w:p>
    <w:p>
      <w:pPr>
        <w:pStyle w:val="Normal"/>
        <w:spacing w:lineRule="auto" w:line="264" w:before="0" w:after="151"/>
        <w:ind w:left="12" w:hanging="0"/>
        <w:rPr>
          <w:szCs w:val="20"/>
        </w:rPr>
      </w:pPr>
      <w:r>
        <w:rPr>
          <w:b/>
          <w:szCs w:val="20"/>
        </w:rPr>
        <w:t xml:space="preserve">BY AND BETWEEN: </w:t>
      </w:r>
      <w:r>
        <w:rPr>
          <w:szCs w:val="20"/>
        </w:rPr>
        <w:t xml:space="preserve"> </w:t>
      </w:r>
    </w:p>
    <w:p>
      <w:pPr>
        <w:pStyle w:val="Normal"/>
        <w:ind w:left="11" w:hanging="0"/>
        <w:rPr>
          <w:szCs w:val="20"/>
        </w:rPr>
      </w:pPr>
      <w:r>
        <w:rPr>
          <w:szCs w:val="20"/>
        </w:rPr>
        <w:t xml:space="preserve">Mr./Ms.______________________________, aged about _______years, son/daughter of Mr./Mrs. ____________________, and currently residing at _____________________________________________________(hereinafter referred to as the   </w:t>
      </w:r>
    </w:p>
    <w:p>
      <w:pPr>
        <w:pStyle w:val="Normal"/>
        <w:spacing w:lineRule="auto" w:line="256" w:before="0" w:after="150"/>
        <w:ind w:left="-1" w:hanging="0"/>
        <w:rPr>
          <w:szCs w:val="20"/>
        </w:rPr>
      </w:pPr>
      <w:r>
        <w:rPr>
          <w:szCs w:val="20"/>
        </w:rPr>
        <w:t>“</w:t>
      </w:r>
      <w:r>
        <w:rPr>
          <w:b/>
          <w:szCs w:val="20"/>
        </w:rPr>
        <w:t>Employee</w:t>
      </w:r>
      <w:r>
        <w:rPr>
          <w:szCs w:val="20"/>
        </w:rPr>
        <w:t xml:space="preserve">”, which expression shall, unless repugnant to the context, mean and include his/her legal heirs, executors, representatives, administrators, and assigns) of the </w:t>
      </w:r>
      <w:r>
        <w:rPr>
          <w:b/>
          <w:szCs w:val="20"/>
        </w:rPr>
        <w:t>ONE PART</w:t>
      </w:r>
      <w:r>
        <w:rPr>
          <w:szCs w:val="20"/>
        </w:rPr>
        <w:t xml:space="preserve">;    </w:t>
      </w:r>
    </w:p>
    <w:p>
      <w:pPr>
        <w:pStyle w:val="Normal"/>
        <w:spacing w:lineRule="auto" w:line="264" w:before="0" w:after="151"/>
        <w:ind w:left="12" w:hanging="0"/>
        <w:rPr>
          <w:szCs w:val="20"/>
        </w:rPr>
      </w:pPr>
      <w:r>
        <w:rPr>
          <w:b/>
          <w:szCs w:val="20"/>
        </w:rPr>
        <w:t xml:space="preserve">AND </w:t>
      </w:r>
    </w:p>
    <w:p>
      <w:pPr>
        <w:pStyle w:val="Normal"/>
        <w:ind w:left="11" w:right="232" w:hanging="0"/>
        <w:rPr>
          <w:szCs w:val="20"/>
        </w:rPr>
      </w:pPr>
      <w:r>
        <w:rPr>
          <w:b/>
          <w:szCs w:val="20"/>
        </w:rPr>
        <w:t xml:space="preserve">Affine Analytics Private Limited, </w:t>
      </w:r>
      <w:r>
        <w:rPr>
          <w:szCs w:val="20"/>
        </w:rPr>
        <w:t>a company incorporated under the provisions of the Companies Act, 1956 and having its registered office at</w:t>
      </w:r>
      <w:r>
        <w:rPr/>
        <w:t xml:space="preserve"> </w:t>
      </w:r>
      <w:r>
        <w:rPr>
          <w:rStyle w:val="Uiprovider"/>
        </w:rPr>
        <w:t xml:space="preserve">46 A and 47, HSR Layout, Sector 6, Bengaluru-560102 </w:t>
      </w:r>
      <w:r>
        <w:rPr>
          <w:szCs w:val="20"/>
        </w:rPr>
        <w:t>(hereinafter referred to as the “</w:t>
      </w:r>
      <w:r>
        <w:rPr>
          <w:b/>
          <w:szCs w:val="20"/>
        </w:rPr>
        <w:t>Company</w:t>
      </w:r>
      <w:r>
        <w:rPr>
          <w:szCs w:val="20"/>
        </w:rPr>
        <w:t xml:space="preserve">” which expression shall, unless repugnant to the context, mean and include its successors and assigns) of the </w:t>
      </w:r>
      <w:r>
        <w:rPr>
          <w:b/>
          <w:szCs w:val="20"/>
        </w:rPr>
        <w:t>OTHER PART.</w:t>
      </w:r>
      <w:r>
        <w:rPr>
          <w:szCs w:val="20"/>
        </w:rPr>
        <w:t xml:space="preserve">   </w:t>
      </w:r>
    </w:p>
    <w:p>
      <w:pPr>
        <w:pStyle w:val="Normal"/>
        <w:spacing w:lineRule="auto" w:line="256" w:before="0" w:after="150"/>
        <w:ind w:left="85" w:hanging="96"/>
        <w:rPr>
          <w:szCs w:val="20"/>
        </w:rPr>
      </w:pPr>
      <w:r>
        <w:rPr>
          <w:szCs w:val="20"/>
        </w:rPr>
        <w:t>Hereinafter the Employee and the Company shall be individually referred to as a “</w:t>
      </w:r>
      <w:r>
        <w:rPr>
          <w:b/>
          <w:szCs w:val="20"/>
        </w:rPr>
        <w:t>Party</w:t>
      </w:r>
      <w:r>
        <w:rPr>
          <w:szCs w:val="20"/>
        </w:rPr>
        <w:t>” and jointly referred to as the “</w:t>
      </w:r>
      <w:r>
        <w:rPr>
          <w:b/>
          <w:szCs w:val="20"/>
        </w:rPr>
        <w:t>Parties</w:t>
      </w:r>
      <w:r>
        <w:rPr>
          <w:szCs w:val="20"/>
        </w:rPr>
        <w:t xml:space="preserve">”.  </w:t>
      </w:r>
    </w:p>
    <w:p>
      <w:pPr>
        <w:pStyle w:val="Normal"/>
        <w:ind w:left="11" w:hanging="0"/>
        <w:rPr>
          <w:szCs w:val="20"/>
        </w:rPr>
      </w:pPr>
      <w:r>
        <w:rPr>
          <w:szCs w:val="20"/>
        </w:rPr>
        <w:t>Whereas the Company has made an offer of employment to the Employee dated</w:t>
      </w:r>
      <w:r>
        <w:rPr>
          <w:b/>
          <w:bCs/>
          <w:szCs w:val="20"/>
        </w:rPr>
        <w:t xml:space="preserve"> &lt;&lt;DOJ dd/MM/YYYY&gt;&gt; </w:t>
      </w:r>
      <w:r>
        <w:rPr>
          <w:szCs w:val="20"/>
        </w:rPr>
        <w:t>and the Employee has accepted the said offer of employment (“</w:t>
      </w:r>
      <w:r>
        <w:rPr>
          <w:b/>
          <w:szCs w:val="20"/>
        </w:rPr>
        <w:t>Offer Letter</w:t>
      </w:r>
      <w:r>
        <w:rPr>
          <w:szCs w:val="20"/>
        </w:rPr>
        <w:t xml:space="preserve">”);  </w:t>
      </w:r>
    </w:p>
    <w:p>
      <w:pPr>
        <w:pStyle w:val="Normal"/>
        <w:ind w:left="11" w:right="720" w:hanging="0"/>
        <w:rPr>
          <w:szCs w:val="20"/>
        </w:rPr>
      </w:pPr>
      <w:r>
        <w:rPr>
          <w:szCs w:val="20"/>
        </w:rPr>
        <w:t xml:space="preserve">Whereas the Company and Employee wish to enter into an Employment Agreement governing the terms and conditions of employment;   </w:t>
      </w:r>
    </w:p>
    <w:p>
      <w:pPr>
        <w:pStyle w:val="Normal"/>
        <w:ind w:left="11" w:right="720" w:hanging="0"/>
        <w:rPr>
          <w:szCs w:val="20"/>
        </w:rPr>
      </w:pPr>
      <w:r>
        <w:rPr>
          <w:szCs w:val="20"/>
        </w:rPr>
      </w:r>
    </w:p>
    <w:p>
      <w:pPr>
        <w:pStyle w:val="Normal"/>
        <w:spacing w:lineRule="auto" w:line="264" w:before="0" w:after="151"/>
        <w:ind w:left="12" w:hanging="0"/>
        <w:rPr>
          <w:szCs w:val="20"/>
        </w:rPr>
      </w:pPr>
      <w:r>
        <w:rPr>
          <w:b/>
          <w:szCs w:val="20"/>
        </w:rPr>
        <w:t xml:space="preserve">NOW THEREFORE THIS AGREEMENT WITNESSETH AND THE PARTIES HERETO AGREE AS FOLLOWS: - </w:t>
      </w:r>
      <w:r>
        <w:rPr>
          <w:szCs w:val="20"/>
        </w:rPr>
        <w:t xml:space="preserve">  </w:t>
      </w:r>
    </w:p>
    <w:p>
      <w:pPr>
        <w:pStyle w:val="Normal"/>
        <w:ind w:left="11" w:right="315" w:hanging="0"/>
        <w:rPr>
          <w:szCs w:val="20"/>
        </w:rPr>
      </w:pPr>
      <w:r>
        <w:rPr>
          <w:b/>
          <w:szCs w:val="20"/>
        </w:rPr>
        <w:t xml:space="preserve">Full Time Employment: </w:t>
      </w:r>
      <w:r>
        <w:rPr>
          <w:szCs w:val="20"/>
        </w:rPr>
        <w:t xml:space="preserve">The Employee is appointed as a full time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pPr>
        <w:pStyle w:val="Normal"/>
        <w:ind w:right="720" w:hanging="0"/>
        <w:rPr>
          <w:szCs w:val="20"/>
        </w:rPr>
      </w:pPr>
      <w:r>
        <w:rPr>
          <w:b/>
          <w:szCs w:val="20"/>
        </w:rPr>
        <w:t xml:space="preserve">Place of work: </w:t>
      </w:r>
      <w:r>
        <w:rPr>
          <w:szCs w:val="20"/>
        </w:rPr>
        <w:t>The</w:t>
      </w:r>
      <w:r>
        <w:rPr>
          <w:b/>
          <w:szCs w:val="20"/>
        </w:rPr>
        <w:t xml:space="preserve"> </w:t>
      </w:r>
      <w:r>
        <w:rPr>
          <w:szCs w:val="20"/>
        </w:rPr>
        <w:t xml:space="preserve">Employee’s place of work will be at Affine’s office in &lt;&lt;Work Location&gt;&gt;. However, based on business requirements, Employee may be required to travel to any location as may be specified by the company, whether within or outside India. Such instances will be governed by the travel policies of the Company.   </w:t>
      </w:r>
    </w:p>
    <w:p>
      <w:pPr>
        <w:pStyle w:val="Normal"/>
        <w:ind w:right="720" w:hanging="0"/>
        <w:rPr>
          <w:szCs w:val="20"/>
        </w:rPr>
      </w:pPr>
      <w:r>
        <w:rPr>
          <w:b/>
          <w:szCs w:val="20"/>
        </w:rPr>
        <w:t>Salary:</w:t>
      </w:r>
      <w:r>
        <w:rPr>
          <w:szCs w:val="20"/>
        </w:rPr>
        <w:t xml:space="preserve"> The Employee shall receive the wages, compensation and benefits as set forth in Schedule 1 to this Agreement.   </w:t>
      </w:r>
    </w:p>
    <w:p>
      <w:pPr>
        <w:pStyle w:val="Normal"/>
        <w:ind w:right="720" w:hanging="0"/>
        <w:rPr>
          <w:szCs w:val="20"/>
        </w:rPr>
      </w:pPr>
      <w:r>
        <w:rPr>
          <w:b/>
          <w:szCs w:val="20"/>
        </w:rPr>
        <w:t>Travel:</w:t>
      </w:r>
      <w:r>
        <w:rPr>
          <w:szCs w:val="20"/>
        </w:rPr>
        <w:t xml:space="preserve"> The employee maybe required to travel onsite to the client site to attend trainings and meetings necessary. However, this is determined on the project and company’s discretion.   </w:t>
      </w:r>
    </w:p>
    <w:p>
      <w:pPr>
        <w:pStyle w:val="Normal"/>
        <w:ind w:right="720" w:hanging="0"/>
        <w:rPr>
          <w:szCs w:val="20"/>
        </w:rPr>
      </w:pPr>
      <w:r>
        <w:rPr>
          <w:b/>
          <w:szCs w:val="20"/>
        </w:rPr>
        <w:t xml:space="preserve">Confidentiality:  </w:t>
      </w:r>
      <w:r>
        <w:rPr>
          <w:szCs w:val="20"/>
        </w:rPr>
        <w:t xml:space="preserve">It is hereby agreed by the Employee that the information concerning the workings of the Company, including all of the information concerning the Company’s business transactions, financial arrangements, business partners, trade secrets and any other information concerning the Company which is not in the public domain constitutes Confidential Information belonging to the   </w:t>
      </w:r>
    </w:p>
    <w:p>
      <w:pPr>
        <w:pStyle w:val="Normal"/>
        <w:ind w:left="11" w:right="720" w:hanging="0"/>
        <w:rPr>
          <w:szCs w:val="20"/>
        </w:rPr>
      </w:pPr>
      <w:r>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any and all documents, records or writings made or obtained by you in the course of his/ her employment with the Company, on termination of his/ her employment for any reason whatsoever.   </w:t>
      </w:r>
    </w:p>
    <w:p>
      <w:pPr>
        <w:pStyle w:val="Normal"/>
        <w:ind w:right="1192" w:hanging="0"/>
        <w:rPr>
          <w:szCs w:val="20"/>
        </w:rPr>
      </w:pPr>
      <w:r>
        <w:rPr>
          <w:b/>
          <w:szCs w:val="20"/>
        </w:rPr>
        <w:t xml:space="preserve">Intellectual Property Policy: </w:t>
      </w:r>
      <w:r>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 </w:t>
      </w:r>
      <w:r>
        <w:rPr>
          <w:b/>
          <w:szCs w:val="20"/>
        </w:rPr>
        <w:t xml:space="preserve"> </w:t>
      </w:r>
      <w:r>
        <w:rPr>
          <w:szCs w:val="20"/>
        </w:rPr>
        <w:t xml:space="preserve">  </w:t>
      </w:r>
    </w:p>
    <w:p>
      <w:pPr>
        <w:pStyle w:val="Normal"/>
        <w:ind w:right="720" w:hanging="0"/>
        <w:rPr>
          <w:szCs w:val="20"/>
        </w:rPr>
      </w:pPr>
      <w:r>
        <w:rPr>
          <w:b/>
          <w:szCs w:val="20"/>
        </w:rPr>
        <w:t xml:space="preserve">Work for Hire: </w:t>
      </w:r>
      <w:r>
        <w:rPr>
          <w:szCs w:val="20"/>
        </w:rPr>
        <w:t xml:space="preserve">The Employee hereby agrees that work done by him/ her during the course of his/ her employment is work for hire and therefore, all the IPR in the same shall at all time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as a result of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 forthwith inform about the same to the reporting manager and HR in the Company. Upon receiving the intimation from the Employee, the Company shall ensure that immediate steps are taken to reinforce the ownership of the Inventions in the Company.  </w:t>
      </w:r>
    </w:p>
    <w:p>
      <w:pPr>
        <w:pStyle w:val="Normal"/>
        <w:ind w:left="11" w:right="720" w:hanging="0"/>
        <w:rPr>
          <w:szCs w:val="20"/>
        </w:rPr>
      </w:pPr>
      <w:r>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pPr>
        <w:pStyle w:val="Normal"/>
        <w:ind w:left="11" w:right="720" w:hanging="0"/>
        <w:rPr>
          <w:szCs w:val="20"/>
        </w:rPr>
      </w:pPr>
      <w:r>
        <w:rPr>
          <w:b/>
          <w:bCs/>
          <w:szCs w:val="20"/>
        </w:rPr>
        <w:t>Annual Leave</w:t>
      </w:r>
      <w:r>
        <w:rPr>
          <w:b/>
          <w:szCs w:val="20"/>
        </w:rPr>
        <w:t xml:space="preserve">:  </w:t>
      </w:r>
      <w:r>
        <w:rPr>
          <w:bCs/>
          <w:szCs w:val="20"/>
        </w:rPr>
        <w:t>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in excess of the approved period shall be grounds for termination of employment. The manner of availing the leave shall be as per the company policy.</w:t>
      </w:r>
      <w:r>
        <w:rPr>
          <w:szCs w:val="20"/>
        </w:rPr>
        <w:t xml:space="preserve">  </w:t>
      </w:r>
    </w:p>
    <w:p>
      <w:pPr>
        <w:pStyle w:val="Xmsonormal"/>
        <w:jc w:val="both"/>
        <w:rPr>
          <w:rFonts w:ascii="Montserrat" w:hAnsi="Montserrat"/>
          <w:sz w:val="20"/>
          <w:szCs w:val="20"/>
          <w:lang w:val="en-IN"/>
        </w:rPr>
      </w:pPr>
      <w:r>
        <w:rPr>
          <w:rFonts w:ascii="Montserrat" w:hAnsi="Montserrat"/>
          <w:b/>
          <w:bCs/>
          <w:sz w:val="20"/>
          <w:szCs w:val="20"/>
          <w:lang w:val="en-IN"/>
        </w:rPr>
        <w:t xml:space="preserve">Training Cost Recovery Policy: </w:t>
      </w:r>
      <w:r>
        <w:rPr>
          <w:rFonts w:ascii="Montserrat" w:hAnsi="Montserrat"/>
          <w:sz w:val="20"/>
          <w:szCs w:val="20"/>
          <w:lang w:val="en-IN"/>
        </w:rPr>
        <w:t>If an individual decides to resign from their position within six months of completing external sponsored training, the company reserves the right to recover the total training cost on a prorated basis valid upto six months from date of completion/certification. The recovery cost will be determined basis below scenarios:-</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a.</w:t>
        <w:tab/>
        <w:t>Resignation initiated during the training: Full amount will be recovered from the individual.</w:t>
      </w:r>
    </w:p>
    <w:p>
      <w:pPr>
        <w:pStyle w:val="Xmsonormal"/>
        <w:jc w:val="both"/>
        <w:rPr>
          <w:rFonts w:ascii="Montserrat" w:hAnsi="Montserrat"/>
          <w:sz w:val="20"/>
          <w:szCs w:val="20"/>
          <w:lang w:val="en-IN"/>
        </w:rPr>
      </w:pPr>
      <w:r>
        <w:rPr>
          <w:rFonts w:ascii="Montserrat" w:hAnsi="Montserrat"/>
          <w:sz w:val="20"/>
          <w:szCs w:val="20"/>
          <w:lang w:val="en-IN"/>
        </w:rPr>
        <w:t>b.</w:t>
        <w:tab/>
        <w:t>Resignation initiated after the training: Recoverable amount will be calculated on a prorated basis valid upto six months, from the date of course completion to resignation date.</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This clause is subject to periodic review and modification at the company’s discretion.</w:t>
      </w:r>
    </w:p>
    <w:p>
      <w:pPr>
        <w:pStyle w:val="Xmsonormal"/>
        <w:jc w:val="both"/>
        <w:rPr>
          <w:rFonts w:ascii="Montserrat" w:hAnsi="Montserrat"/>
          <w:b/>
          <w:b/>
          <w:bCs/>
          <w:sz w:val="20"/>
          <w:szCs w:val="20"/>
          <w:lang w:val="en-IN"/>
        </w:rPr>
      </w:pPr>
      <w:r>
        <w:rPr>
          <w:rFonts w:ascii="Montserrat" w:hAnsi="Montserrat"/>
          <w:b/>
          <w:bCs/>
          <w:sz w:val="20"/>
          <w:szCs w:val="20"/>
          <w:lang w:val="en-IN"/>
        </w:rPr>
      </w:r>
    </w:p>
    <w:p>
      <w:pPr>
        <w:pStyle w:val="Xmsonormal"/>
        <w:jc w:val="both"/>
        <w:rPr>
          <w:rFonts w:ascii="Montserrat" w:hAnsi="Montserrat"/>
          <w:sz w:val="20"/>
          <w:szCs w:val="20"/>
          <w:lang w:val="en-IN"/>
        </w:rPr>
      </w:pPr>
      <w:r>
        <w:rPr>
          <w:rFonts w:ascii="Montserrat" w:hAnsi="Montserrat"/>
          <w:b/>
          <w:bCs/>
          <w:sz w:val="20"/>
          <w:szCs w:val="20"/>
          <w:lang w:val="en-IN"/>
        </w:rPr>
        <w:t xml:space="preserve">Termination: </w:t>
      </w:r>
      <w:r>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As part of their job responsibilities, employees are required to notify both their HR representative and reporting manager if they need to take sudden, unexpected time off due to an emergency. If an employee fails to respond to emails or calls from their team, manager or HR for 3 consecutive working days without prior notice, it may be considered as a case of absconding and salary for the respective month will be withheld.</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pPr>
        <w:pStyle w:val="Xmsolistparagraph"/>
        <w:numPr>
          <w:ilvl w:val="0"/>
          <w:numId w:val="1"/>
        </w:numPr>
        <w:rPr>
          <w:rFonts w:ascii="Montserrat" w:hAnsi="Montserrat"/>
          <w:sz w:val="20"/>
          <w:szCs w:val="20"/>
          <w:lang w:val="en-IN"/>
        </w:rPr>
      </w:pPr>
      <w:r>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pPr>
        <w:pStyle w:val="Xmsolistparagraph"/>
        <w:numPr>
          <w:ilvl w:val="0"/>
          <w:numId w:val="1"/>
        </w:numPr>
        <w:rPr>
          <w:rFonts w:ascii="Montserrat" w:hAnsi="Montserrat"/>
          <w:sz w:val="20"/>
          <w:szCs w:val="20"/>
          <w:lang w:val="en-IN"/>
        </w:rPr>
      </w:pPr>
      <w:r>
        <w:rPr>
          <w:rFonts w:ascii="Montserrat" w:hAnsi="Montserrat"/>
          <w:sz w:val="20"/>
          <w:szCs w:val="20"/>
          <w:lang w:val="en-IN"/>
        </w:rPr>
        <w:t>Fraudulent, dishonesty or gross misconduct or gross dereliction of duty or fraud, misrepresentation or other acts of moral turpitude or criminal conduct.</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committing a breach of integrity, or unlawful activity, or embezzlement, or misappropriation or misuse or causing damage to the Company's asset/property.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insubordination or failure to comply with the directions given to you by persons so authorized.</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insolvency or conviction in a court of law for any offence involving moral turpitude.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Material breach of any terms or conditions of this Letter or the Company's policies or other documents or directions of the Company.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going on or abetting a strike in contravention of any law for the time being in force.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conducting yourself in a manner which is regarded by the Company as prejudicial to its own interests or to the interests of its clients.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Misconduct by you as provided under the labour laws and/or in the Company policies.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 xml:space="preserve"> </w:t>
      </w:r>
      <w:r>
        <w:rPr>
          <w:rFonts w:ascii="Montserrat" w:hAnsi="Montserrat"/>
          <w:sz w:val="20"/>
          <w:szCs w:val="20"/>
          <w:lang w:val="en-IN"/>
        </w:rPr>
        <w:t>Negligence or failure to achieve the agreed upon sales targets/quotas.</w:t>
      </w:r>
    </w:p>
    <w:p>
      <w:pPr>
        <w:pStyle w:val="Normal"/>
        <w:spacing w:before="0" w:after="200"/>
        <w:jc w:val="both"/>
        <w:rPr>
          <w:rFonts w:ascii="Calibri" w:hAnsi="Calibri" w:cs="Calibri"/>
          <w:sz w:val="22"/>
          <w:lang w:val="en-US"/>
        </w:rPr>
      </w:pPr>
      <w:r>
        <w:rPr>
          <w:rFonts w:cs="Calibri" w:ascii="Calibri" w:hAnsi="Calibri"/>
          <w:sz w:val="22"/>
          <w:lang w:val="en-US"/>
        </w:rPr>
      </w:r>
    </w:p>
    <w:p>
      <w:pPr>
        <w:pStyle w:val="Normal"/>
        <w:ind w:left="11" w:right="720" w:hanging="0"/>
        <w:rPr>
          <w:szCs w:val="20"/>
        </w:rPr>
      </w:pPr>
      <w:r>
        <w:rPr>
          <w:szCs w:val="20"/>
        </w:rPr>
        <w:t>Upon termination of employment for any reason, the Employee shall:</w:t>
      </w:r>
    </w:p>
    <w:p>
      <w:pPr>
        <w:pStyle w:val="ListParagraph"/>
        <w:numPr>
          <w:ilvl w:val="0"/>
          <w:numId w:val="2"/>
        </w:numPr>
        <w:ind w:left="731" w:right="720" w:hanging="360"/>
        <w:rPr>
          <w:szCs w:val="20"/>
        </w:rPr>
      </w:pPr>
      <w:r>
        <w:rPr>
          <w:szCs w:val="20"/>
        </w:rPr>
        <w:t>Continue to perform his duties professionally without interruption till the last date of employment and ensure that handover of duties and responsibilities takes place with least amount of loss and disruption to the Company.</w:t>
      </w:r>
    </w:p>
    <w:p>
      <w:pPr>
        <w:pStyle w:val="ListParagraph"/>
        <w:numPr>
          <w:ilvl w:val="0"/>
          <w:numId w:val="2"/>
        </w:numPr>
        <w:ind w:left="731" w:right="720" w:hanging="360"/>
        <w:rPr>
          <w:szCs w:val="20"/>
        </w:rPr>
      </w:pPr>
      <w:r>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pPr>
        <w:pStyle w:val="Normal"/>
        <w:ind w:left="11" w:right="720" w:hanging="0"/>
        <w:rPr>
          <w:szCs w:val="20"/>
        </w:rPr>
      </w:pPr>
      <w:r>
        <w:rPr>
          <w:b/>
          <w:szCs w:val="20"/>
        </w:rPr>
        <w:t>Non Solicitation</w:t>
      </w:r>
      <w:r>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pPr>
        <w:pStyle w:val="Normal"/>
        <w:ind w:right="720" w:hanging="0"/>
        <w:rPr>
          <w:szCs w:val="20"/>
        </w:rPr>
      </w:pPr>
      <w:r>
        <w:rPr>
          <w:b/>
          <w:szCs w:val="20"/>
        </w:rPr>
        <w:t xml:space="preserve">Ownership of Leads. </w:t>
      </w:r>
      <w:r>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pPr>
        <w:pStyle w:val="Normal"/>
        <w:ind w:right="720" w:hanging="0"/>
        <w:rPr>
          <w:szCs w:val="20"/>
        </w:rPr>
      </w:pPr>
      <w:r>
        <w:rPr>
          <w:b/>
          <w:szCs w:val="20"/>
        </w:rPr>
        <w:t>Non-interference.</w:t>
      </w:r>
      <w:r>
        <w:rPr>
          <w:szCs w:val="20"/>
        </w:rPr>
        <w:t xml:space="preserve"> The Employee agrees not to act in a manner that may lead to tortuous interference into the Company’s business with any client or ongoing prospect discussion. Further the Employee agrees not to take any action that may cause any such employee, customer, or supplier to terminate or adversely alter his, her, or its relationship with Company.   </w:t>
      </w:r>
    </w:p>
    <w:p>
      <w:pPr>
        <w:pStyle w:val="Normal"/>
        <w:ind w:right="720" w:hanging="0"/>
        <w:rPr>
          <w:szCs w:val="20"/>
        </w:rPr>
      </w:pPr>
      <w:r>
        <w:rPr>
          <w:b/>
          <w:szCs w:val="20"/>
        </w:rPr>
        <w:t xml:space="preserve">Standard of Dress:  </w:t>
      </w:r>
      <w:r>
        <w:rPr>
          <w:szCs w:val="20"/>
        </w:rPr>
        <w:t xml:space="preserve">The Employee shall conform to an acceptable standard of dress to ensure that the image as presented to customers, colleagues and associates is in keeping with the proper professional approach of the Company. The Employees shall at all times confer to such dress code as may be prescribed by the Company from time to time.   </w:t>
      </w:r>
    </w:p>
    <w:p>
      <w:pPr>
        <w:pStyle w:val="Normal"/>
        <w:ind w:left="11" w:right="720" w:hanging="0"/>
        <w:rPr>
          <w:szCs w:val="20"/>
        </w:rPr>
      </w:pPr>
      <w:r>
        <w:rPr>
          <w:b/>
          <w:szCs w:val="20"/>
        </w:rPr>
        <w:t xml:space="preserve">Anti-Sexual Harassment Policy:  </w:t>
      </w:r>
      <w:r>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pPr>
        <w:pStyle w:val="Normal"/>
        <w:ind w:right="720" w:hanging="0"/>
        <w:rPr>
          <w:szCs w:val="20"/>
        </w:rPr>
      </w:pPr>
      <w:r>
        <w:rPr>
          <w:b/>
          <w:szCs w:val="20"/>
        </w:rPr>
        <w:t>Notices.</w:t>
      </w:r>
      <w:r>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pPr>
        <w:pStyle w:val="Normal"/>
        <w:ind w:right="720" w:hanging="0"/>
        <w:rPr>
          <w:szCs w:val="20"/>
        </w:rPr>
      </w:pPr>
      <w:r>
        <w:rPr>
          <w:b/>
          <w:szCs w:val="20"/>
        </w:rPr>
        <w:t xml:space="preserve">Governing Law. </w:t>
      </w:r>
      <w:r>
        <w:rPr>
          <w:szCs w:val="20"/>
        </w:rPr>
        <w:t xml:space="preserve">This Agreement shall be governed and interpreted in accordance with the laws of India and subject to the jurisdiction of Courts at Bengaluru, India.    </w:t>
      </w:r>
    </w:p>
    <w:p>
      <w:pPr>
        <w:pStyle w:val="Normal"/>
        <w:ind w:right="720" w:hanging="0"/>
        <w:rPr>
          <w:szCs w:val="20"/>
        </w:rPr>
      </w:pPr>
      <w:r>
        <w:rPr>
          <w:b/>
          <w:szCs w:val="20"/>
        </w:rPr>
        <w:t>Entire Agreement.</w:t>
      </w:r>
      <w:r>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pPr>
        <w:pStyle w:val="Normal"/>
        <w:ind w:right="720" w:hanging="0"/>
        <w:rPr>
          <w:szCs w:val="20"/>
        </w:rPr>
      </w:pPr>
      <w:r>
        <w:rPr>
          <w:b/>
          <w:szCs w:val="20"/>
        </w:rPr>
        <w:t>Written Modification and Waiver.</w:t>
      </w:r>
      <w:r>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pPr>
        <w:pStyle w:val="Normal"/>
        <w:ind w:left="11" w:right="720" w:hanging="0"/>
        <w:rPr>
          <w:szCs w:val="20"/>
        </w:rPr>
      </w:pPr>
      <w:r>
        <w:rPr>
          <w:b/>
          <w:szCs w:val="20"/>
        </w:rPr>
        <w:t>Assignment.</w:t>
      </w:r>
      <w:r>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pPr>
        <w:pStyle w:val="Normal"/>
        <w:spacing w:lineRule="auto" w:line="256" w:before="0" w:after="150"/>
        <w:ind w:left="-1" w:hanging="0"/>
        <w:rPr>
          <w:szCs w:val="20"/>
        </w:rPr>
      </w:pPr>
      <w:r>
        <w:rPr>
          <w:szCs w:val="20"/>
        </w:rPr>
        <w:t xml:space="preserve">Company’s business shall discharge and perform all of the obligations of Company under this Agreement.  </w:t>
      </w:r>
    </w:p>
    <w:p>
      <w:pPr>
        <w:pStyle w:val="Normal"/>
        <w:ind w:left="11" w:right="720" w:hanging="0"/>
        <w:rPr>
          <w:szCs w:val="20"/>
        </w:rPr>
      </w:pPr>
      <w:r>
        <w:rPr>
          <w:b/>
          <w:szCs w:val="20"/>
        </w:rPr>
        <w:t>Severability.</w:t>
      </w:r>
      <w:r>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pPr>
        <w:pStyle w:val="Normal"/>
        <w:ind w:right="720" w:hanging="0"/>
        <w:rPr>
          <w:szCs w:val="20"/>
        </w:rPr>
      </w:pPr>
      <w:r>
        <w:rPr>
          <w:b/>
          <w:szCs w:val="20"/>
        </w:rPr>
        <w:t xml:space="preserve">Arbitration of Disputes. </w:t>
      </w:r>
      <w:r>
        <w:rPr>
          <w:szCs w:val="20"/>
        </w:rPr>
        <w:t xml:space="preserve">Any and all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to the Arbitration and Conciliation Act, 1996. The Arbitration proceedings shall be held in Bengaluru, India and the language of Arbitration proceedings shall be English.   </w:t>
      </w:r>
    </w:p>
    <w:p>
      <w:pPr>
        <w:pStyle w:val="Normal"/>
        <w:spacing w:before="0" w:after="419"/>
        <w:ind w:right="720" w:hanging="0"/>
        <w:rPr>
          <w:szCs w:val="20"/>
        </w:rPr>
      </w:pPr>
      <w:r>
        <w:rPr>
          <w:b/>
          <w:szCs w:val="20"/>
        </w:rPr>
        <w:t xml:space="preserve">Indemnity. </w:t>
      </w:r>
      <w:r>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r>
    </w:p>
    <w:p>
      <w:pPr>
        <w:pStyle w:val="Normal"/>
        <w:spacing w:before="0" w:after="398"/>
        <w:ind w:left="11" w:right="720" w:hanging="0"/>
        <w:rPr>
          <w:szCs w:val="20"/>
        </w:rPr>
      </w:pPr>
      <w:r>
        <w:rPr>
          <w:szCs w:val="20"/>
        </w:rPr>
        <w:t xml:space="preserve">The signatures below indicate agreement with this Employment Agreement. </w:t>
      </w:r>
    </w:p>
    <w:p>
      <w:pPr>
        <w:pStyle w:val="Normal"/>
        <w:spacing w:before="0" w:after="398"/>
        <w:ind w:left="11" w:right="720" w:hanging="0"/>
        <w:rPr>
          <w:szCs w:val="20"/>
        </w:rPr>
      </w:pPr>
      <w:r>
        <w:rPr>
          <w:szCs w:val="20"/>
        </w:rPr>
        <w:t xml:space="preserve">AGREED AND ACCEPTED the date first written above </w:t>
      </w:r>
    </w:p>
    <w:p>
      <w:pPr>
        <w:pStyle w:val="Normal"/>
        <w:spacing w:lineRule="auto" w:line="264" w:before="0" w:after="449"/>
        <w:ind w:left="12" w:hanging="0"/>
        <w:rPr>
          <w:szCs w:val="20"/>
        </w:rPr>
      </w:pPr>
      <w:r>
        <w:rPr>
          <w:szCs w:val="20"/>
        </w:rPr>
        <w:t xml:space="preserve">For </w:t>
      </w:r>
      <w:r>
        <w:rPr>
          <w:b/>
          <w:szCs w:val="20"/>
        </w:rPr>
        <w:t xml:space="preserve">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2" name="Picture 7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4" descr="Diagram&#10;&#10;Description automatically generated"/>
                    <pic:cNvPicPr>
                      <a:picLocks noChangeAspect="1" noChangeArrowheads="1"/>
                    </pic:cNvPicPr>
                  </pic:nvPicPr>
                  <pic:blipFill>
                    <a:blip r:embed="rId3"/>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ind w:left="426" w:right="425" w:hanging="0"/>
        <w:rPr>
          <w:szCs w:val="20"/>
        </w:rPr>
      </w:pPr>
      <w:r>
        <w:rPr>
          <w:b/>
          <w:szCs w:val="20"/>
        </w:rPr>
        <w:t xml:space="preserve">Affine Analytics Pvt. Ltd.                                        Place:                                           </w:t>
      </w:r>
      <w:r>
        <w:rPr>
          <w:rFonts w:eastAsia="Times New Roman"/>
          <w:b/>
          <w:bCs/>
          <w:color w:val="201F1E"/>
          <w:szCs w:val="20"/>
        </w:rPr>
        <w:t xml:space="preserve">     </w:t>
      </w:r>
    </w:p>
    <w:p>
      <w:pPr>
        <w:pStyle w:val="Normal"/>
        <w:spacing w:lineRule="auto" w:line="324"/>
        <w:ind w:right="1701" w:hanging="0"/>
        <w:rPr>
          <w:szCs w:val="20"/>
        </w:rPr>
      </w:pPr>
      <w:r>
        <w:rPr>
          <w:b/>
          <w:szCs w:val="20"/>
        </w:rPr>
        <w:t xml:space="preserve"> </w:t>
      </w:r>
      <w:r>
        <w:rPr>
          <w:szCs w:val="20"/>
        </w:rPr>
        <w:t xml:space="preserve">                                                 </w:t>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szCs w:val="20"/>
        </w:rPr>
      </w:pPr>
      <w:r>
        <w:rPr>
          <w:b/>
          <w:szCs w:val="20"/>
        </w:rPr>
        <w:t xml:space="preserve">  </w:t>
      </w:r>
      <w:r>
        <w:rPr>
          <w:b/>
          <w:szCs w:val="20"/>
        </w:rPr>
        <w:t>SCHEDULE 1</w:t>
      </w:r>
    </w:p>
    <w:p>
      <w:pPr>
        <w:pStyle w:val="Default"/>
        <w:ind w:left="245" w:hanging="0"/>
        <w:rPr>
          <w:rFonts w:ascii="Montserrat" w:hAnsi="Montserrat"/>
          <w:b/>
          <w:b/>
          <w:sz w:val="20"/>
          <w:szCs w:val="20"/>
        </w:rPr>
      </w:pPr>
      <w:r>
        <w:rPr>
          <w:rFonts w:ascii="Montserrat" w:hAnsi="Montserrat"/>
          <w:b/>
          <w:sz w:val="20"/>
          <w:szCs w:val="20"/>
        </w:rPr>
        <w:t xml:space="preserve">                                                     </w:t>
      </w:r>
      <w:r>
        <w:rPr>
          <w:rFonts w:ascii="Montserrat" w:hAnsi="Montserrat"/>
          <w:b/>
          <w:sz w:val="20"/>
          <w:szCs w:val="20"/>
        </w:rPr>
        <w:t>COMPENSATION &amp; BENEFITS</w:t>
      </w:r>
    </w:p>
    <w:p>
      <w:pPr>
        <w:pStyle w:val="Default"/>
        <w:ind w:left="245" w:hanging="0"/>
        <w:rPr>
          <w:rFonts w:ascii="Montserrat" w:hAnsi="Montserrat"/>
          <w:b/>
          <w:b/>
          <w:sz w:val="20"/>
          <w:szCs w:val="20"/>
        </w:rPr>
      </w:pPr>
      <w:r>
        <w:rPr>
          <w:rFonts w:ascii="Montserrat" w:hAnsi="Montserrat"/>
          <w:b/>
          <w:sz w:val="20"/>
          <w:szCs w:val="20"/>
        </w:rPr>
      </w:r>
    </w:p>
    <w:tbl>
      <w:tblPr>
        <w:tblW w:w="5300" w:type="dxa"/>
        <w:jc w:val="left"/>
        <w:tblInd w:w="2150" w:type="dxa"/>
        <w:tblCellMar>
          <w:top w:w="0" w:type="dxa"/>
          <w:left w:w="108" w:type="dxa"/>
          <w:bottom w:w="0" w:type="dxa"/>
          <w:right w:w="108" w:type="dxa"/>
        </w:tblCellMar>
        <w:tblLook w:val="04a0" w:noHBand="0" w:noVBand="1" w:firstColumn="1" w:lastRow="0" w:lastColumn="0" w:firstRow="1"/>
      </w:tblPr>
      <w:tblGrid>
        <w:gridCol w:w="3060"/>
        <w:gridCol w:w="2239"/>
      </w:tblGrid>
      <w:tr>
        <w:trPr>
          <w:trHeight w:val="330" w:hRule="atLeast"/>
        </w:trPr>
        <w:tc>
          <w:tcPr>
            <w:tcW w:w="5299" w:type="dxa"/>
            <w:gridSpan w:val="2"/>
            <w:tcBorders>
              <w:top w:val="single" w:sz="8" w:space="0" w:color="000000"/>
              <w:left w:val="single" w:sz="8" w:space="0" w:color="000000"/>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4"/>
                <w:szCs w:val="24"/>
                <w:lang w:val="en-US"/>
              </w:rPr>
            </w:pPr>
            <w:r>
              <w:rPr>
                <w:rFonts w:eastAsia="Times New Roman" w:cs="Calibri" w:ascii="Calibri" w:hAnsi="Calibri"/>
                <w:b/>
                <w:bCs/>
                <w:color w:val="000000"/>
                <w:sz w:val="24"/>
                <w:szCs w:val="24"/>
                <w:lang w:val="en-US"/>
              </w:rPr>
              <w:t>Cost-to-Company Break-up</w:t>
            </w:r>
          </w:p>
        </w:tc>
      </w:tr>
      <w:tr>
        <w:trPr>
          <w:trHeight w:val="315" w:hRule="atLeast"/>
        </w:trPr>
        <w:tc>
          <w:tcPr>
            <w:tcW w:w="3060" w:type="dxa"/>
            <w:tcBorders>
              <w:left w:val="single" w:sz="8" w:space="0" w:color="000000"/>
              <w:bottom w:val="single" w:sz="8" w:space="0" w:color="000000"/>
              <w:right w:val="single" w:sz="4"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Particulars</w:t>
            </w:r>
          </w:p>
        </w:tc>
        <w:tc>
          <w:tcPr>
            <w:tcW w:w="2239" w:type="dxa"/>
            <w:tcBorders>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Annual (in INR)</w:t>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Basic Pay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House Rent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Leave Travel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Employer PF</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Executive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Gratuity (accrual only)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Medical Insurance &amp; Benefits</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left w:val="single" w:sz="8" w:space="0" w:color="000000"/>
              <w:right w:val="single" w:sz="4" w:space="0" w:color="000000"/>
            </w:tcBorders>
            <w:shd w:color="000000" w:fill="FFFFFF" w:val="clear"/>
            <w:vAlign w:val="bottom"/>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Performance Based Pay</w:t>
            </w:r>
          </w:p>
        </w:tc>
        <w:tc>
          <w:tcPr>
            <w:tcW w:w="2239" w:type="dxa"/>
            <w:tcBorders>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Total CTC</w:t>
            </w:r>
          </w:p>
        </w:tc>
        <w:tc>
          <w:tcPr>
            <w:tcW w:w="2239" w:type="dxa"/>
            <w:tcBorders>
              <w:top w:val="single" w:sz="8" w:space="0" w:color="000000"/>
              <w:bottom w:val="single" w:sz="8" w:space="0" w:color="000000"/>
              <w:right w:val="single" w:sz="8" w:space="0" w:color="000000"/>
            </w:tcBorders>
            <w:shd w:color="000000" w:fill="FFFFFF" w:val="clear"/>
            <w:vAlign w:val="center"/>
          </w:tcPr>
          <w:p>
            <w:pPr>
              <w:pStyle w:val="Normal"/>
              <w:spacing w:lineRule="auto" w:line="240" w:before="0" w:after="0"/>
              <w:jc w:val="right"/>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r>
          </w:p>
        </w:tc>
      </w:tr>
    </w:tbl>
    <w:p>
      <w:pPr>
        <w:pStyle w:val="Normal"/>
        <w:ind w:right="709" w:hanging="0"/>
        <w:rPr>
          <w:rFonts w:cs="Calibri-Bold"/>
          <w:b/>
          <w:b/>
          <w:bCs/>
          <w:szCs w:val="20"/>
          <w:lang w:val="en-US"/>
        </w:rPr>
      </w:pPr>
      <w:r>
        <w:rPr>
          <w:rFonts w:cs="Calibri-Bold"/>
          <w:b/>
          <w:bCs/>
          <w:szCs w:val="20"/>
          <w:lang w:val="en-US"/>
        </w:rPr>
      </w:r>
    </w:p>
    <w:p>
      <w:pPr>
        <w:pStyle w:val="Normal"/>
        <w:ind w:right="709" w:hanging="0"/>
        <w:rPr>
          <w:rFonts w:cs="Calibri-Bold"/>
          <w:szCs w:val="20"/>
          <w:lang w:val="en-US"/>
        </w:rPr>
      </w:pPr>
      <w:r>
        <w:rPr>
          <w:rFonts w:cs="Calibri-Bold"/>
          <w:b/>
          <w:bCs/>
          <w:szCs w:val="20"/>
          <w:lang w:val="en-US"/>
        </w:rPr>
        <w:t xml:space="preserve">Total Compensation: </w:t>
      </w:r>
      <w:r>
        <w:rPr>
          <w:szCs w:val="20"/>
        </w:rPr>
        <w:t>Your compensation will be subject to applicable taxes as per the provisions of the Income Tax Act, 1961, and will be paid to you after deduction of income tax and other applicable taxes at source. The compensation will be paid to you monthly in arrears. It is a condition of your service that you shall abide by the Affine’s policy in maintaining the strictest confidentiality of your compensation information and not disclose such information to any other person within the company.</w:t>
      </w:r>
    </w:p>
    <w:p>
      <w:pPr>
        <w:pStyle w:val="Normal"/>
        <w:ind w:right="709" w:hanging="0"/>
        <w:rPr>
          <w:szCs w:val="20"/>
        </w:rPr>
      </w:pPr>
      <w:r>
        <w:rPr>
          <w:b/>
          <w:bCs/>
          <w:szCs w:val="20"/>
        </w:rPr>
        <w:t>Leave Travel Allowance (LTA):</w:t>
      </w:r>
      <w:r>
        <w:rPr>
          <w:szCs w:val="20"/>
        </w:rPr>
        <w:t xml:space="preserve"> LTA claims will be treated as per existing tax laws and the remainder will be paid as Executive Allowance and taxed accordingly.</w:t>
      </w:r>
    </w:p>
    <w:p>
      <w:pPr>
        <w:pStyle w:val="Normal"/>
        <w:jc w:val="both"/>
        <w:rPr>
          <w:szCs w:val="20"/>
        </w:rPr>
      </w:pPr>
      <w:r>
        <w:rPr>
          <w:b/>
          <w:bCs/>
          <w:szCs w:val="20"/>
        </w:rPr>
        <w:t>Performance Based Pay:</w:t>
      </w:r>
      <w:r>
        <w:rPr>
          <w:szCs w:val="20"/>
        </w:rPr>
        <w:t xml:space="preserve"> The performance pay will be based on the individual’s and company’s performance during the performance appraisal period. </w:t>
      </w:r>
    </w:p>
    <w:p>
      <w:pPr>
        <w:pStyle w:val="Normal"/>
        <w:jc w:val="both"/>
        <w:rPr>
          <w:szCs w:val="20"/>
        </w:rPr>
      </w:pPr>
      <w:r>
        <w:rPr>
          <w:szCs w:val="20"/>
        </w:rPr>
        <w:t>In addition to your total compensation, you will be eligible for following benefits, which will be governed by Company policy:</w:t>
        <w:tab/>
      </w:r>
    </w:p>
    <w:p>
      <w:pPr>
        <w:pStyle w:val="Normal"/>
        <w:jc w:val="both"/>
        <w:rPr>
          <w:szCs w:val="20"/>
        </w:rPr>
      </w:pPr>
      <w:r>
        <w:rPr>
          <w:b/>
          <w:bCs/>
          <w:szCs w:val="20"/>
        </w:rPr>
        <w:t>Gratuity:</w:t>
      </w:r>
      <w:r>
        <w:rPr>
          <w:szCs w:val="20"/>
        </w:rPr>
        <w:t xml:space="preserve"> Gratuity will be accrued and paid as per The Payment of Gratuity Act, 1972.</w:t>
      </w:r>
    </w:p>
    <w:p>
      <w:pPr>
        <w:pStyle w:val="Normal"/>
        <w:jc w:val="both"/>
        <w:rPr>
          <w:b/>
          <w:b/>
          <w:bCs/>
          <w:szCs w:val="20"/>
        </w:rPr>
      </w:pPr>
      <w:r>
        <w:rPr>
          <w:b/>
          <w:bCs/>
          <w:szCs w:val="20"/>
        </w:rPr>
        <w:t xml:space="preserve">Medical Insurance Coverage &amp; Benefits: </w:t>
      </w:r>
      <w:r>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Pr>
          <w:b/>
          <w:bCs/>
          <w:szCs w:val="20"/>
        </w:rPr>
        <w:t xml:space="preserve"> </w:t>
      </w:r>
    </w:p>
    <w:p>
      <w:pPr>
        <w:pStyle w:val="Normal"/>
        <w:jc w:val="both"/>
        <w:rPr>
          <w:b/>
          <w:b/>
          <w:bCs/>
          <w:szCs w:val="20"/>
        </w:rPr>
      </w:pPr>
      <w:r>
        <w:rPr>
          <w:szCs w:val="20"/>
        </w:rPr>
        <w:t>Benefits include expenditure towards team outings and planned meetups (subject to approvals and claims by the team manager).</w:t>
      </w:r>
    </w:p>
    <w:p>
      <w:pPr>
        <w:pStyle w:val="Normal"/>
        <w:jc w:val="both"/>
        <w:rPr/>
      </w:pPr>
      <w:r>
        <w:rPr>
          <w:b/>
          <w:bCs/>
          <w:szCs w:val="20"/>
        </w:rPr>
        <w:t>Per Diem &amp; Travel Expenditure:</w:t>
      </w:r>
      <w:r>
        <w:rPr>
          <w:szCs w:val="20"/>
        </w:rPr>
        <w:t xml:space="preserve"> </w:t>
      </w:r>
      <w:r>
        <w:rPr/>
        <w:t>Employees are eligible to claim these expenses whenever there is a business requirement and it will be applicable as per company policy.</w:t>
      </w:r>
    </w:p>
    <w:p>
      <w:pPr>
        <w:pStyle w:val="Normal"/>
        <w:jc w:val="both"/>
        <w:rPr>
          <w:lang w:val="en-US"/>
        </w:rPr>
      </w:pPr>
      <w:r>
        <w:rPr>
          <w:b/>
          <w:bCs/>
          <w:lang w:val="en-US"/>
        </w:rPr>
        <w:t xml:space="preserve">Relocation Assistance Policy: </w:t>
      </w:r>
      <w:r>
        <w:rPr>
          <w:lang w:val="en-US"/>
        </w:rPr>
        <w:t>In case of relocation at the time of joining the company will take care of the following relocation expenses as per company policy</w:t>
      </w:r>
      <w:r>
        <w:rPr/>
        <w:t xml:space="preserve"> </w:t>
      </w:r>
      <w:r>
        <w:rPr>
          <w:rFonts w:eastAsia="Times New Roman"/>
        </w:rPr>
        <w:t>will be capped at INR 50,000/-</w:t>
      </w:r>
      <w:r>
        <w:rPr>
          <w:lang w:val="en-US"/>
        </w:rPr>
        <w:t>. </w:t>
      </w:r>
    </w:p>
    <w:p>
      <w:pPr>
        <w:pStyle w:val="Normal"/>
        <w:numPr>
          <w:ilvl w:val="0"/>
          <w:numId w:val="4"/>
        </w:numPr>
        <w:jc w:val="both"/>
        <w:rPr>
          <w:lang w:val="en-US"/>
        </w:rPr>
      </w:pPr>
      <w:r>
        <w:rPr>
          <w:lang w:val="en-US"/>
        </w:rPr>
        <w:t>One way travel expenses. </w:t>
      </w:r>
    </w:p>
    <w:p>
      <w:pPr>
        <w:pStyle w:val="Normal"/>
        <w:numPr>
          <w:ilvl w:val="0"/>
          <w:numId w:val="5"/>
        </w:numPr>
        <w:jc w:val="both"/>
        <w:rPr>
          <w:lang w:val="en-US"/>
        </w:rPr>
      </w:pPr>
      <w:r>
        <w:rPr>
          <w:lang w:val="en-US"/>
        </w:rPr>
        <w:t>Accommodation for 7 days from the date of arrival. </w:t>
      </w:r>
    </w:p>
    <w:p>
      <w:pPr>
        <w:pStyle w:val="Normal"/>
        <w:numPr>
          <w:ilvl w:val="0"/>
          <w:numId w:val="5"/>
        </w:numPr>
        <w:jc w:val="both"/>
        <w:rPr>
          <w:lang w:val="en-US"/>
        </w:rPr>
      </w:pPr>
      <w:r>
        <w:rPr>
          <w:lang w:val="en-US"/>
        </w:rPr>
        <w:t>Movers &amp; Packers</w:t>
      </w:r>
    </w:p>
    <w:p>
      <w:pPr>
        <w:pStyle w:val="Normal"/>
        <w:jc w:val="both"/>
        <w:rPr>
          <w:lang w:val="en-US"/>
        </w:rPr>
      </w:pPr>
      <w:r>
        <w:rPr>
          <w:b/>
          <w:bCs/>
          <w:lang w:val="en-US"/>
        </w:rPr>
        <w:t>Relocation Eligibility:</w:t>
      </w:r>
      <w:r>
        <w:rPr>
          <w:lang w:val="en-US"/>
        </w:rPr>
        <w:t> </w:t>
      </w:r>
    </w:p>
    <w:p>
      <w:pPr>
        <w:pStyle w:val="Normal"/>
        <w:numPr>
          <w:ilvl w:val="0"/>
          <w:numId w:val="6"/>
        </w:numPr>
        <w:jc w:val="both"/>
        <w:rPr>
          <w:lang w:val="en-US"/>
        </w:rPr>
      </w:pPr>
      <w:r>
        <w:rPr>
          <w:lang w:val="en-US"/>
        </w:rPr>
        <w:t>Only outstation Employees are eligible for a one-time relocation. </w:t>
      </w:r>
    </w:p>
    <w:p>
      <w:pPr>
        <w:pStyle w:val="Normal"/>
        <w:numPr>
          <w:ilvl w:val="0"/>
          <w:numId w:val="7"/>
        </w:numPr>
        <w:jc w:val="both"/>
        <w:rPr>
          <w:lang w:val="en-US"/>
        </w:rPr>
      </w:pPr>
      <w:r>
        <w:rPr>
          <w:lang w:val="en-US"/>
        </w:rPr>
        <w:t>The relocation must be approved in advance at the time of offer. </w:t>
      </w:r>
    </w:p>
    <w:p>
      <w:pPr>
        <w:pStyle w:val="Normal"/>
        <w:jc w:val="both"/>
        <w:rPr>
          <w:lang w:val="en-US"/>
        </w:rPr>
      </w:pPr>
      <w:r>
        <w:rPr>
          <w:lang w:val="en-US"/>
        </w:rPr>
        <w:t>Note: The company reserves the right to recover any relocation expenses incurred at the time of relocation of the employee, should the employee leave the company prior to completing 6 months (180 days) at Affine. </w:t>
      </w:r>
    </w:p>
    <w:p>
      <w:pPr>
        <w:pStyle w:val="Normal"/>
        <w:jc w:val="both"/>
        <w:rPr>
          <w:b/>
          <w:b/>
          <w:bCs/>
          <w:szCs w:val="20"/>
        </w:rPr>
      </w:pPr>
      <w:r>
        <w:rPr>
          <w:b/>
          <w:bCs/>
          <w:szCs w:val="20"/>
        </w:rPr>
        <w:t xml:space="preserve">Referral Bonus: </w:t>
      </w:r>
      <w:r>
        <w:rPr>
          <w:szCs w:val="20"/>
        </w:rPr>
        <w:t>You are eligible to refer your friends even before joining &amp; start earning bonus in accordance with our Referral Policy:</w:t>
      </w:r>
    </w:p>
    <w:tbl>
      <w:tblPr>
        <w:tblW w:w="5904" w:type="dxa"/>
        <w:jc w:val="left"/>
        <w:tblInd w:w="2155" w:type="dxa"/>
        <w:tblCellMar>
          <w:top w:w="0" w:type="dxa"/>
          <w:left w:w="108" w:type="dxa"/>
          <w:bottom w:w="0" w:type="dxa"/>
          <w:right w:w="108" w:type="dxa"/>
        </w:tblCellMar>
        <w:tblLook w:val="04a0" w:noHBand="0" w:noVBand="1" w:firstColumn="1" w:lastRow="0" w:lastColumn="0" w:firstRow="1"/>
      </w:tblPr>
      <w:tblGrid>
        <w:gridCol w:w="2327"/>
        <w:gridCol w:w="1867"/>
        <w:gridCol w:w="1710"/>
      </w:tblGrid>
      <w:tr>
        <w:trPr>
          <w:trHeight w:val="30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Offshore Referral Bonus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Level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Delivery Roles</w:t>
            </w:r>
          </w:p>
        </w:tc>
        <w:tc>
          <w:tcPr>
            <w:tcW w:w="1710"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Support Roles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40,000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Consultant</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15"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Principal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50,000</w:t>
            </w:r>
          </w:p>
        </w:tc>
      </w:tr>
      <w:tr>
        <w:trPr>
          <w:trHeight w:val="33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Principal &amp; Above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exact"/>
        </w:trPr>
        <w:tc>
          <w:tcPr>
            <w:tcW w:w="2327" w:type="dxa"/>
            <w:tcBorders/>
            <w:shd w:color="auto" w:fill="auto" w:val="clear"/>
            <w:vAlign w:val="bottom"/>
          </w:tcPr>
          <w:p>
            <w:pPr>
              <w:pStyle w:val="Normal"/>
              <w:spacing w:lineRule="auto" w:line="240" w:before="0" w:after="0"/>
              <w:jc w:val="center"/>
              <w:rPr>
                <w:szCs w:val="20"/>
              </w:rPr>
            </w:pPr>
            <w:r>
              <w:rPr>
                <w:szCs w:val="20"/>
              </w:rPr>
            </w:r>
          </w:p>
        </w:tc>
        <w:tc>
          <w:tcPr>
            <w:tcW w:w="1867" w:type="dxa"/>
            <w:tcBorders/>
            <w:shd w:color="auto" w:fill="auto" w:val="clear"/>
            <w:vAlign w:val="bottom"/>
          </w:tcPr>
          <w:p>
            <w:pPr>
              <w:pStyle w:val="Normal"/>
              <w:spacing w:lineRule="auto" w:line="240" w:before="0" w:after="0"/>
              <w:jc w:val="center"/>
              <w:rPr>
                <w:szCs w:val="20"/>
              </w:rPr>
            </w:pPr>
            <w:r>
              <w:rPr>
                <w:szCs w:val="20"/>
              </w:rPr>
            </w:r>
          </w:p>
        </w:tc>
        <w:tc>
          <w:tcPr>
            <w:tcW w:w="1710" w:type="dxa"/>
            <w:tcBorders/>
            <w:shd w:color="auto" w:fill="auto" w:val="clear"/>
            <w:vAlign w:val="bottom"/>
          </w:tcPr>
          <w:p>
            <w:pPr>
              <w:pStyle w:val="Normal"/>
              <w:spacing w:lineRule="auto" w:line="240" w:before="0" w:after="0"/>
              <w:jc w:val="center"/>
              <w:rPr>
                <w:szCs w:val="20"/>
              </w:rPr>
            </w:pPr>
            <w:r>
              <w:rPr>
                <w:szCs w:val="20"/>
              </w:rPr>
            </w:r>
          </w:p>
        </w:tc>
      </w:tr>
      <w:tr>
        <w:trPr>
          <w:trHeight w:val="33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Onsite Referral Bonus</w:t>
            </w:r>
          </w:p>
        </w:tc>
      </w:tr>
      <w:tr>
        <w:trPr>
          <w:trHeight w:val="300" w:hRule="atLeast"/>
        </w:trPr>
        <w:tc>
          <w:tcPr>
            <w:tcW w:w="2327" w:type="dxa"/>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Level</w:t>
            </w:r>
          </w:p>
        </w:tc>
        <w:tc>
          <w:tcPr>
            <w:tcW w:w="1867"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Delivery Roles</w:t>
            </w:r>
          </w:p>
        </w:tc>
        <w:tc>
          <w:tcPr>
            <w:tcW w:w="1710"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Support Roles</w:t>
            </w:r>
          </w:p>
        </w:tc>
      </w:tr>
      <w:tr>
        <w:trPr>
          <w:trHeight w:val="33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Associate to Consultant</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$2,500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$500 </w:t>
            </w:r>
          </w:p>
        </w:tc>
      </w:tr>
      <w:tr>
        <w:trPr>
          <w:trHeight w:val="30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Principal &amp; Above</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$3,000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$1,000 </w:t>
            </w:r>
          </w:p>
        </w:tc>
      </w:tr>
    </w:tbl>
    <w:p>
      <w:pPr>
        <w:pStyle w:val="Normal"/>
        <w:jc w:val="both"/>
        <w:rPr>
          <w:szCs w:val="20"/>
        </w:rPr>
      </w:pPr>
      <w:r>
        <w:rPr>
          <w:szCs w:val="20"/>
        </w:rPr>
      </w:r>
    </w:p>
    <w:p>
      <w:pPr>
        <w:pStyle w:val="ListParagraph"/>
        <w:numPr>
          <w:ilvl w:val="0"/>
          <w:numId w:val="3"/>
        </w:numPr>
        <w:jc w:val="both"/>
        <w:rPr>
          <w:szCs w:val="20"/>
        </w:rPr>
      </w:pPr>
      <w:r>
        <w:rPr>
          <w:szCs w:val="20"/>
        </w:rPr>
        <w:t>The referral bonus will be paid upon your referral candidate completing 90 days from date of joining.</w:t>
      </w:r>
    </w:p>
    <w:p>
      <w:pPr>
        <w:pStyle w:val="ListParagraph"/>
        <w:numPr>
          <w:ilvl w:val="0"/>
          <w:numId w:val="3"/>
        </w:numPr>
        <w:jc w:val="both"/>
        <w:rPr>
          <w:szCs w:val="20"/>
        </w:rPr>
      </w:pPr>
      <w:r>
        <w:rPr>
          <w:szCs w:val="20"/>
        </w:rPr>
        <w:t>The pay-out will take place in the following month’s salary.</w:t>
      </w:r>
    </w:p>
    <w:p>
      <w:pPr>
        <w:pStyle w:val="ListParagraph"/>
        <w:numPr>
          <w:ilvl w:val="0"/>
          <w:numId w:val="3"/>
        </w:numPr>
        <w:jc w:val="both"/>
        <w:rPr>
          <w:szCs w:val="20"/>
        </w:rPr>
      </w:pPr>
      <w:r>
        <w:rPr>
          <w:szCs w:val="20"/>
        </w:rPr>
        <w:t>You and the referred candidate should be on the payroll of the company on the day of pay-out.</w:t>
      </w:r>
    </w:p>
    <w:p>
      <w:pPr>
        <w:pStyle w:val="Normal"/>
        <w:jc w:val="both"/>
        <w:rPr>
          <w:szCs w:val="20"/>
        </w:rPr>
      </w:pPr>
      <w:r>
        <w:rPr>
          <w:szCs w:val="20"/>
        </w:rPr>
      </w:r>
    </w:p>
    <w:p>
      <w:pPr>
        <w:pStyle w:val="Normal"/>
        <w:jc w:val="both"/>
        <w:rPr>
          <w:szCs w:val="20"/>
        </w:rPr>
      </w:pPr>
      <w:r>
        <w:rPr>
          <w:szCs w:val="20"/>
        </w:rPr>
        <w:t xml:space="preserve">Alteration to Terms of Employment: The Company reserves the right to alter the “Terms of Employment” without prior notice.  </w:t>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t xml:space="preserve">Yours Truly, </w:t>
      </w:r>
    </w:p>
    <w:p>
      <w:pPr>
        <w:pStyle w:val="Normal"/>
        <w:jc w:val="both"/>
        <w:rPr>
          <w:b/>
          <w:b/>
          <w:bCs/>
          <w:szCs w:val="20"/>
        </w:rPr>
      </w:pPr>
      <w:r>
        <w:rPr>
          <w:b/>
          <w:bCs/>
          <w:szCs w:val="20"/>
        </w:rPr>
        <w:t xml:space="preserve">For 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4"/>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bCs/>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before="0" w:after="160"/>
        <w:ind w:left="426" w:right="425" w:hanging="0"/>
        <w:rPr>
          <w:rFonts w:cs="Century Gothic" w:cstheme="majorHAnsi"/>
        </w:rPr>
      </w:pPr>
      <w:r>
        <w:rPr>
          <w:b/>
          <w:szCs w:val="20"/>
        </w:rPr>
        <w:t xml:space="preserve">Affine Analytics Pvt. Ltd.                                        Place:                                         </w:t>
      </w:r>
    </w:p>
    <w:sectPr>
      <w:headerReference w:type="default" r:id="rId5"/>
      <w:footerReference w:type="default" r:id="rId6"/>
      <w:type w:val="nextPage"/>
      <w:pgSz w:w="11906" w:h="16838"/>
      <w:pgMar w:left="872" w:right="538" w:header="708" w:top="2476" w:footer="708" w:bottom="322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Montserrat Medium">
    <w:charset w:val="01"/>
    <w:family w:val="roman"/>
    <w:pitch w:val="variable"/>
  </w:font>
  <w:font w:name="Bookman Old Sty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280" w:after="280"/>
      <w:contextualSpacing/>
      <w:rPr>
        <w:rFonts w:ascii="Montserrat" w:hAnsi="Montserrat" w:cs="Calibri"/>
        <w:b/>
        <w:b/>
        <w:bCs/>
        <w:sz w:val="21"/>
        <w:szCs w:val="21"/>
      </w:rPr>
    </w:pPr>
    <w:r>
      <w:rPr>
        <w:rFonts w:cs="Calibri" w:ascii="Montserrat" w:hAnsi="Montserrat"/>
        <w:b/>
        <w:bCs/>
        <w:sz w:val="21"/>
        <w:szCs w:val="21"/>
      </w:rPr>
      <w:t>Affine Analytics Private Limited</w:t>
    </w:r>
  </w:p>
  <w:p>
    <w:pPr>
      <w:pStyle w:val="NormalWeb"/>
      <w:shd w:val="clear" w:color="auto" w:fill="FFFFFF"/>
      <w:spacing w:before="0" w:after="280"/>
      <w:contextualSpacing/>
      <w:rPr>
        <w:rFonts w:cs="Calibri"/>
        <w:color w:val="DA4E51" w:themeColor="accent1"/>
        <w:sz w:val="15"/>
        <w:szCs w:val="15"/>
      </w:rPr>
    </w:pPr>
    <w:r>
      <mc:AlternateContent>
        <mc:Choice Requires="wps">
          <w:drawing>
            <wp:anchor behindDoc="1" distT="0" distB="0" distL="0" distR="0" simplePos="0" locked="0" layoutInCell="1" allowOverlap="1" relativeHeight="26" wp14:anchorId="1EBD2FF8">
              <wp:simplePos x="0" y="0"/>
              <wp:positionH relativeFrom="margin">
                <wp:posOffset>-558800</wp:posOffset>
              </wp:positionH>
              <wp:positionV relativeFrom="margin">
                <wp:posOffset>8613140</wp:posOffset>
              </wp:positionV>
              <wp:extent cx="7581900" cy="509270"/>
              <wp:effectExtent l="0" t="0" r="635" b="0"/>
              <wp:wrapNone/>
              <wp:docPr id="5" name="Rectangle 3"/>
              <a:graphic xmlns:a="http://schemas.openxmlformats.org/drawingml/2006/main">
                <a:graphicData uri="http://schemas.microsoft.com/office/word/2010/wordprocessingShape">
                  <wps:wsp>
                    <wps:cNvSpPr/>
                    <wps:spPr>
                      <a:xfrm>
                        <a:off x="0" y="0"/>
                        <a:ext cx="7581240" cy="508680"/>
                      </a:xfrm>
                      <a:prstGeom prst="rect">
                        <a:avLst/>
                      </a:prstGeom>
                      <a:gradFill rotWithShape="0">
                        <a:gsLst>
                          <a:gs pos="0">
                            <a:srgbClr val="f15a5b"/>
                          </a:gs>
                          <a:gs pos="54000">
                            <a:srgbClr val="ec183f"/>
                          </a:gs>
                          <a:gs pos="83000">
                            <a:srgbClr val="7c52a1"/>
                          </a:gs>
                          <a:gs pos="100000">
                            <a:srgbClr val="74a8d2"/>
                          </a:gs>
                        </a:gsLst>
                        <a:lin ang="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15a5b" stroked="f" style="position:absolute;margin-left:-44pt;margin-top:678.2pt;width:596.9pt;height:40pt;mso-position-horizontal-relative:margin;mso-position-vertical-relative:margin" wp14:anchorId="1EBD2FF8">
              <w10:wrap type="none"/>
              <v:fill o:detectmouseclick="t" color2="#ec183f"/>
              <v:stroke color="#3465a4" weight="12600" joinstyle="miter" endcap="flat"/>
            </v:rect>
          </w:pict>
        </mc:Fallback>
      </mc:AlternateContent>
    </w:r>
    <w:r>
      <w:rPr>
        <w:rFonts w:cs="Calibri" w:ascii="Montserrat" w:hAnsi="Montserrat"/>
        <w:b/>
        <w:bCs/>
        <w:sz w:val="12"/>
        <w:szCs w:val="12"/>
      </w:rPr>
      <w:br/>
    </w:r>
    <w:r>
      <w:rPr>
        <w:rFonts w:cs="Calibri" w:ascii="Montserrat" w:hAnsi="Montserrat"/>
        <w:color w:val="757070"/>
        <w:sz w:val="15"/>
        <w:szCs w:val="15"/>
      </w:rPr>
      <w:t xml:space="preserve">46 A and 47, Behind HSR BDA Complex, HSR Layout, </w:t>
      <w:br/>
      <w:t xml:space="preserve">Sector 6, Bengaluru KA, IN – 560102.                                               </w:t>
      <w:tab/>
      <w:tab/>
      <w:t xml:space="preserve">                                                                                                  </w:t>
    </w:r>
    <w:r>
      <w:rPr>
        <w:rFonts w:cs="Calibri" w:ascii="Montserrat" w:hAnsi="Montserrat"/>
        <w:b/>
        <w:bCs/>
        <w:color w:val="757070"/>
        <w:sz w:val="15"/>
        <w:szCs w:val="15"/>
      </w:rPr>
      <w:t>Affine Confidential</w:t>
      <w:br/>
    </w:r>
    <w:r>
      <w:rPr>
        <w:rFonts w:cs="Calibri" w:ascii="Montserrat" w:hAnsi="Montserrat"/>
        <w:color w:val="757070"/>
        <w:sz w:val="15"/>
        <w:szCs w:val="15"/>
      </w:rPr>
      <w:t xml:space="preserve">Tel: </w:t>
    </w:r>
    <w:r>
      <w:rPr>
        <w:rFonts w:ascii="Montserrat" w:hAnsi="Montserrat"/>
        <w:color w:val="DA4E51" w:themeColor="accent1"/>
        <w:sz w:val="15"/>
        <w:szCs w:val="15"/>
      </w:rPr>
      <w:t>+91-80-66790500</w:t>
    </w:r>
    <w:r>
      <w:rPr>
        <w:rFonts w:cs="Calibri" w:ascii="Montserrat" w:hAnsi="Montserrat"/>
        <w:color w:val="DA4E51" w:themeColor="accent1"/>
        <w:sz w:val="15"/>
        <w:szCs w:val="15"/>
      </w:rPr>
      <w:t xml:space="preserve"> </w:t>
    </w:r>
    <w:r>
      <w:rPr>
        <w:rFonts w:cs="Calibri" w:ascii="Montserrat" w:hAnsi="Montserrat"/>
        <w:color w:val="757070"/>
        <w:sz w:val="15"/>
        <w:szCs w:val="15"/>
      </w:rPr>
      <w:t xml:space="preserve">| Web: </w:t>
    </w:r>
    <w:r>
      <w:rPr>
        <w:rFonts w:ascii="Montserrat" w:hAnsi="Montserrat"/>
        <w:color w:val="DA4E51" w:themeColor="accent1"/>
        <w:sz w:val="15"/>
        <w:szCs w:val="15"/>
      </w:rPr>
      <w:t xml:space="preserve">affine.ai </w:t>
    </w:r>
    <w:r>
      <w:rPr>
        <w:rFonts w:cs="Calibri" w:ascii="Montserrat" w:hAnsi="Montserrat"/>
        <w:color w:val="757070"/>
        <w:sz w:val="15"/>
        <w:szCs w:val="15"/>
      </w:rPr>
      <w:t>| Mail:</w:t>
    </w:r>
    <w:r>
      <w:rPr>
        <w:rFonts w:cs="Calibri" w:ascii="Montserrat" w:hAnsi="Montserrat"/>
        <w:sz w:val="15"/>
        <w:szCs w:val="15"/>
      </w:rPr>
      <w:t xml:space="preserve"> </w:t>
    </w:r>
    <w:r>
      <w:rPr>
        <w:rFonts w:cs="Calibri" w:ascii="Montserrat" w:hAnsi="Montserrat"/>
        <w:color w:val="DA4E51" w:themeColor="accent1"/>
        <w:sz w:val="15"/>
        <w:szCs w:val="15"/>
      </w:rPr>
      <w:t xml:space="preserve">info@affine.ai                                                                                               </w:t>
    </w:r>
    <w:r>
      <w:rPr>
        <w:rFonts w:cs="Calibri" w:ascii="Montserrat" w:hAnsi="Montserrat"/>
        <w:color w:val="757070"/>
        <w:sz w:val="15"/>
        <w:szCs w:val="15"/>
      </w:rPr>
      <w:t xml:space="preserve">CIN No: U74999KA2011PTC057118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drawing>
        <wp:anchor behindDoc="1" distT="0" distB="0" distL="0" distR="0" simplePos="0" locked="0" layoutInCell="1" allowOverlap="1" relativeHeight="12">
          <wp:simplePos x="0" y="0"/>
          <wp:positionH relativeFrom="column">
            <wp:posOffset>1905</wp:posOffset>
          </wp:positionH>
          <wp:positionV relativeFrom="paragraph">
            <wp:posOffset>144780</wp:posOffset>
          </wp:positionV>
          <wp:extent cx="2296795" cy="7131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rcRect l="14231" t="34235" r="12558" b="33597"/>
                  <a:stretch>
                    <a:fillRect/>
                  </a:stretch>
                </pic:blipFill>
                <pic:spPr bwMode="auto">
                  <a:xfrm>
                    <a:off x="0" y="0"/>
                    <a:ext cx="2296795" cy="713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5">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7">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56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Century Gothic" w:cs="Calibri Light (Headings)" w:eastAsia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0f5"/>
    <w:pPr>
      <w:widowControl/>
      <w:bidi w:val="0"/>
      <w:spacing w:lineRule="auto" w:line="259" w:before="0" w:after="160"/>
      <w:jc w:val="left"/>
    </w:pPr>
    <w:rPr>
      <w:rFonts w:ascii="Montserrat" w:hAnsi="Montserrat" w:eastAsia="Century Gothic" w:cs="Calibri Light (Headings)" w:eastAsiaTheme="minorHAnsi"/>
      <w:color w:val="auto"/>
      <w:kern w:val="0"/>
      <w:sz w:val="20"/>
      <w:szCs w:val="22"/>
      <w:lang w:val="en-IN" w:eastAsia="en-US" w:bidi="ar-SA"/>
    </w:rPr>
  </w:style>
  <w:style w:type="paragraph" w:styleId="Heading1">
    <w:name w:val="Heading 1"/>
    <w:basedOn w:val="Normal"/>
    <w:next w:val="Normal"/>
    <w:link w:val="Heading1Char"/>
    <w:uiPriority w:val="9"/>
    <w:qFormat/>
    <w:rsid w:val="00757959"/>
    <w:pPr>
      <w:keepNext w:val="true"/>
      <w:keepLines/>
      <w:spacing w:before="240" w:after="160"/>
      <w:outlineLvl w:val="0"/>
    </w:pPr>
    <w:rPr>
      <w:rFonts w:ascii="Century Gothic" w:hAnsi="Century Gothic" w:eastAsia="" w:cs="" w:asciiTheme="majorHAnsi" w:cstheme="majorBidi" w:eastAsiaTheme="majorEastAsia" w:hAnsiTheme="majorHAnsi"/>
      <w:color w:val="B72629"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5004"/>
    <w:rPr/>
  </w:style>
  <w:style w:type="character" w:styleId="FooterChar" w:customStyle="1">
    <w:name w:val="Footer Char"/>
    <w:basedOn w:val="DefaultParagraphFont"/>
    <w:link w:val="Footer"/>
    <w:uiPriority w:val="99"/>
    <w:qFormat/>
    <w:rsid w:val="005a5004"/>
    <w:rPr/>
  </w:style>
  <w:style w:type="character" w:styleId="Internet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qFormat/>
    <w:rsid w:val="005a5004"/>
    <w:rPr>
      <w:color w:val="605E5C"/>
      <w:shd w:fill="E1DFDD" w:val="clear"/>
    </w:rPr>
  </w:style>
  <w:style w:type="character" w:styleId="Heading1Char" w:customStyle="1">
    <w:name w:val="Heading 1 Char"/>
    <w:basedOn w:val="DefaultParagraphFont"/>
    <w:link w:val="Heading1"/>
    <w:uiPriority w:val="9"/>
    <w:qFormat/>
    <w:rsid w:val="00757959"/>
    <w:rPr>
      <w:rFonts w:ascii="Century Gothic" w:hAnsi="Century Gothic" w:eastAsia="" w:cs="" w:asciiTheme="majorHAnsi" w:cstheme="majorBidi" w:eastAsiaTheme="majorEastAsia" w:hAnsiTheme="majorHAnsi"/>
      <w:color w:val="B72629" w:themeColor="accent1" w:themeShade="bf"/>
      <w:sz w:val="32"/>
      <w:szCs w:val="32"/>
      <w:lang w:val="en-US"/>
    </w:rPr>
  </w:style>
  <w:style w:type="character" w:styleId="Uiprovider" w:customStyle="1">
    <w:name w:val="ui-provider"/>
    <w:basedOn w:val="DefaultParagraphFont"/>
    <w:qFormat/>
    <w:rsid w:val="00d07d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a5004"/>
    <w:pPr>
      <w:tabs>
        <w:tab w:val="clear" w:pos="567"/>
        <w:tab w:val="center" w:pos="4513" w:leader="none"/>
        <w:tab w:val="right" w:pos="9026" w:leader="none"/>
      </w:tabs>
    </w:pPr>
    <w:rPr/>
  </w:style>
  <w:style w:type="paragraph" w:styleId="Footer">
    <w:name w:val="Footer"/>
    <w:basedOn w:val="Normal"/>
    <w:link w:val="FooterChar"/>
    <w:uiPriority w:val="99"/>
    <w:unhideWhenUsed/>
    <w:rsid w:val="005a5004"/>
    <w:pPr>
      <w:tabs>
        <w:tab w:val="clear" w:pos="567"/>
        <w:tab w:val="center" w:pos="4513" w:leader="none"/>
        <w:tab w:val="right" w:pos="9026" w:leader="none"/>
      </w:tabs>
    </w:pPr>
    <w:rPr/>
  </w:style>
  <w:style w:type="paragraph" w:styleId="ListParagraph">
    <w:name w:val="List Paragraph"/>
    <w:basedOn w:val="Normal"/>
    <w:uiPriority w:val="34"/>
    <w:qFormat/>
    <w:rsid w:val="00757959"/>
    <w:pPr>
      <w:spacing w:before="0" w:after="160"/>
      <w:ind w:left="720" w:hanging="0"/>
      <w:contextualSpacing/>
    </w:pPr>
    <w:rPr/>
  </w:style>
  <w:style w:type="paragraph" w:styleId="NormalWeb">
    <w:name w:val="Normal (Web)"/>
    <w:basedOn w:val="Normal"/>
    <w:uiPriority w:val="99"/>
    <w:unhideWhenUsed/>
    <w:qFormat/>
    <w:rsid w:val="00f06e4c"/>
    <w:pPr>
      <w:spacing w:lineRule="auto" w:line="240" w:beforeAutospacing="1" w:afterAutospacing="1"/>
    </w:pPr>
    <w:rPr>
      <w:rFonts w:ascii="Times New Roman" w:hAnsi="Times New Roman" w:eastAsia="Times New Roman" w:cs="Times New Roman"/>
      <w:sz w:val="24"/>
      <w:szCs w:val="24"/>
      <w:lang w:eastAsia="en-GB"/>
    </w:rPr>
  </w:style>
  <w:style w:type="paragraph" w:styleId="Xmsonormal" w:customStyle="1">
    <w:name w:val="x_msonormal"/>
    <w:basedOn w:val="Normal"/>
    <w:qFormat/>
    <w:rsid w:val="00d07d29"/>
    <w:pPr>
      <w:spacing w:lineRule="auto" w:line="240" w:before="0" w:after="0"/>
    </w:pPr>
    <w:rPr>
      <w:rFonts w:ascii="Calibri" w:hAnsi="Calibri" w:cs="Calibri"/>
      <w:sz w:val="22"/>
      <w:lang w:val="en-US"/>
    </w:rPr>
  </w:style>
  <w:style w:type="paragraph" w:styleId="Xmsolistparagraph" w:customStyle="1">
    <w:name w:val="x_msolistparagraph"/>
    <w:basedOn w:val="Normal"/>
    <w:qFormat/>
    <w:rsid w:val="00d07d29"/>
    <w:pPr>
      <w:spacing w:lineRule="auto" w:line="240" w:before="120" w:after="120"/>
      <w:ind w:left="720" w:hanging="0"/>
    </w:pPr>
    <w:rPr>
      <w:rFonts w:ascii="Montserrat Medium" w:hAnsi="Montserrat Medium" w:cs="Calibri"/>
      <w:sz w:val="21"/>
      <w:szCs w:val="21"/>
      <w:lang w:val="en-US"/>
    </w:rPr>
  </w:style>
  <w:style w:type="paragraph" w:styleId="Default" w:customStyle="1">
    <w:name w:val="Default"/>
    <w:qFormat/>
    <w:rsid w:val="00d07d29"/>
    <w:pPr>
      <w:widowControl/>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282033" w:themeColor="text1" w:sz="4" w:space="0"/>
        <w:left w:val="single" w:color="282033" w:themeColor="text1" w:sz="4" w:space="0"/>
        <w:bottom w:val="single" w:color="282033" w:themeColor="text1" w:sz="4" w:space="0"/>
        <w:right w:val="single" w:color="282033" w:themeColor="text1" w:sz="4" w:space="0"/>
        <w:insideH w:val="single" w:color="282033" w:themeColor="text1" w:sz="4" w:space="0"/>
        <w:insideV w:val="single" w:color="282033"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2.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3.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D3F2A-054F-4062-AE36-B471E0D34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Appointment Letter</Template>
  <TotalTime>0</TotalTime>
  <Application>LibreOffice/6.4.7.2$Linux_X86_64 LibreOffice_project/40$Build-2</Application>
  <Pages>11</Pages>
  <Words>3486</Words>
  <Characters>18498</Characters>
  <CharactersWithSpaces>22763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2024-12-05T05:19:00Z</dcterms:created>
  <dc:creator>Anudeep Kaur</dc:creator>
  <dc:description/>
  <dc:language>en-GB</dc:language>
  <cp:lastModifiedBy/>
  <cp:lastPrinted>2024-11-14T12:10:00Z</cp:lastPrinted>
  <dcterms:modified xsi:type="dcterms:W3CDTF">2024-12-24T09:29:01Z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0x0101006B48A5AF6D85914F818C7B48DC88729A</vt:lpwstr>
  </property>
  <property fmtid="{D5CDD505-2E9C-101B-9397-08002B2CF9AE}" pid="4" name="DocSecurity">
    <vt:i4>0</vt:i4>
  </property>
  <property fmtid="{D5CDD505-2E9C-101B-9397-08002B2CF9AE}" pid="5" name="GrammarlyDocumentId">
    <vt:lpwstr>6828c09377f4ebabbd254a9bd343988e53f3803c43b3c9c467f02dca6e586e70</vt:lpwstr>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