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194B" w:rsidRPr="00AD194B" w:rsidRDefault="00AD194B" w:rsidP="00AD194B">
      <w:pPr>
        <w:spacing w:before="100" w:beforeAutospacing="1" w:after="100" w:afterAutospacing="1" w:line="240" w:lineRule="auto"/>
        <w:outlineLvl w:val="2"/>
        <w:rPr>
          <w:rFonts w:ascii="Avenir Book" w:eastAsia="Times New Roman" w:hAnsi="Avenir Book" w:cs="Avenir Book"/>
          <w:b/>
          <w:bCs/>
          <w:kern w:val="0"/>
          <w:sz w:val="27"/>
          <w:szCs w:val="27"/>
          <w14:ligatures w14:val="none"/>
        </w:rPr>
      </w:pPr>
      <w:r w:rsidRPr="00AD194B">
        <w:rPr>
          <w:rFonts w:ascii="Avenir Book" w:eastAsia="Times New Roman" w:hAnsi="Avenir Book" w:cs="Avenir Book"/>
          <w:b/>
          <w:bCs/>
          <w:kern w:val="0"/>
          <w:sz w:val="27"/>
          <w:szCs w:val="27"/>
          <w14:ligatures w14:val="none"/>
        </w:rPr>
        <w:t>Part I — 10 Executive Insights</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1. Pipeline conversion collapsed — 17.1pp drop in Submit/Import rate</w:t>
      </w:r>
      <w:r w:rsidRPr="00AD194B">
        <w:rPr>
          <w:rFonts w:ascii="Avenir Book" w:eastAsia="Times New Roman" w:hAnsi="Avenir Book" w:cs="Avenir Book"/>
          <w:kern w:val="0"/>
          <w:sz w:val="36"/>
          <w:szCs w:val="36"/>
          <w14:ligatures w14:val="none"/>
        </w:rPr>
        <w:t xml:space="preserve"> The headline metric tells the story in a single number. The Submit/Import rate fell from 48.2% (2025 full-year baseline) to 45.1% (pre-pilot) to 31.1% during the pilot — a 17.1 percentage-point decline. This is not noise; it is a structural compression of funnel efficiency occurring precisely in the window when dynamic pricing was active.</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2. Treatment submissions fell 25% while the market grew 11%</w:t>
      </w:r>
      <w:r w:rsidRPr="00AD194B">
        <w:rPr>
          <w:rFonts w:ascii="Avenir Book" w:eastAsia="Times New Roman" w:hAnsi="Avenir Book" w:cs="Avenir Book"/>
          <w:kern w:val="0"/>
          <w:sz w:val="36"/>
          <w:szCs w:val="36"/>
          <w14:ligatures w14:val="none"/>
        </w:rPr>
        <w:t xml:space="preserve"> The sharpest single data point in the study. In the same 24-day window where the broader market (Unassigned group) grew submissions by +11% and Control by +8%, Treatment submissions fell −25%. That is a 33–36 percentage-point gap against peers operating in an identical market environment. Dynamic pricing is directly suppressing which loans LOs choose to submit.</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3. LOs are pre-filtering loans before import — a top-of-funnel confidence crisis</w:t>
      </w:r>
      <w:r w:rsidRPr="00AD194B">
        <w:rPr>
          <w:rFonts w:ascii="Avenir Book" w:eastAsia="Times New Roman" w:hAnsi="Avenir Book" w:cs="Avenir Book"/>
          <w:kern w:val="0"/>
          <w:sz w:val="36"/>
          <w:szCs w:val="36"/>
          <w14:ligatures w14:val="none"/>
        </w:rPr>
        <w:t xml:space="preserve"> Treatment imports fell −10% against a market baseline of +11% — a 21-point market-adjusted swing at the very top of funnel. LOs are not just failing to submit loans; they are evaluating and discarding loans before they enter the system at all. This self-censorship signals that LOs have lost confidence in the </w:t>
      </w:r>
      <w:r w:rsidRPr="00AD194B">
        <w:rPr>
          <w:rFonts w:ascii="Avenir Book" w:eastAsia="Times New Roman" w:hAnsi="Avenir Book" w:cs="Avenir Book"/>
          <w:kern w:val="0"/>
          <w:sz w:val="36"/>
          <w:szCs w:val="36"/>
          <w14:ligatures w14:val="none"/>
        </w:rPr>
        <w:lastRenderedPageBreak/>
        <w:t>dynamic pricing engine's ability to produce competitive rates.</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4. Dynamic pricing has fundamentally altered LO rate-checking behavior</w:t>
      </w:r>
      <w:r w:rsidRPr="00AD194B">
        <w:rPr>
          <w:rFonts w:ascii="Avenir Book" w:eastAsia="Times New Roman" w:hAnsi="Avenir Book" w:cs="Avenir Book"/>
          <w:kern w:val="0"/>
          <w:sz w:val="36"/>
          <w:szCs w:val="36"/>
          <w14:ligatures w14:val="none"/>
        </w:rPr>
        <w:t xml:space="preserve"> EQ visit data reveals a 42-point behavioral divergence: Control LOs checked rates +32% more often; Treatment LOs checked −10% less. Treatment LOs have transferred rate discovery entirely to the dynamic engine and stopped applying human judgment to validate competitiveness. They are working less yet achieving significantly less.</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5. Rates are 25–50+ bps uncompetitive vs. WF, Chase, and PennyMac</w:t>
      </w:r>
      <w:r w:rsidRPr="00AD194B">
        <w:rPr>
          <w:rFonts w:ascii="Avenir Book" w:eastAsia="Times New Roman" w:hAnsi="Avenir Book" w:cs="Avenir Book"/>
          <w:kern w:val="0"/>
          <w:sz w:val="36"/>
          <w:szCs w:val="36"/>
          <w14:ligatures w14:val="none"/>
        </w:rPr>
        <w:t xml:space="preserve"> 40% of complaint calls specifically named rate competitiveness, with LOs describing UWM rates as "terrible" and 25–50+ bps worse than major competitors. A 25bp disadvantage is where LOs begin losing rate-sensitive borrowers. A 50bp disadvantage is a deal-killer. These are active, real-time pricing gaps being reported from live client conversations — not hypotheticals.</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6. PRO Score deterioration confirms pilot-induced competitive pricing decline</w:t>
      </w:r>
      <w:r w:rsidRPr="00AD194B">
        <w:rPr>
          <w:rFonts w:ascii="Avenir Book" w:eastAsia="Times New Roman" w:hAnsi="Avenir Book" w:cs="Avenir Book"/>
          <w:kern w:val="0"/>
          <w:sz w:val="36"/>
          <w:szCs w:val="36"/>
          <w14:ligatures w14:val="none"/>
        </w:rPr>
        <w:t xml:space="preserve"> Treatment and Control PRO Scores were nearly matched at baseline (53.3 vs. 51.4 — a 1.9-point gap). By end of pilot the gap doubled: 40.5 vs. 36.7 — a 3.8-point gap. Both groups declined due to market conditions, but Treatment fell 5 percentage points </w:t>
      </w:r>
      <w:r w:rsidRPr="00AD194B">
        <w:rPr>
          <w:rFonts w:ascii="Avenir Book" w:eastAsia="Times New Roman" w:hAnsi="Avenir Book" w:cs="Avenir Book"/>
          <w:kern w:val="0"/>
          <w:sz w:val="36"/>
          <w:szCs w:val="36"/>
          <w14:ligatures w14:val="none"/>
        </w:rPr>
        <w:lastRenderedPageBreak/>
        <w:t>steeper (−29% vs. −24%). That additional 5pp decline is entirely attributable to dynamic pricing, not market forces.</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7. Control group confirms the market was healthy — dynamic pricing was the variable</w:t>
      </w:r>
      <w:r w:rsidRPr="00AD194B">
        <w:rPr>
          <w:rFonts w:ascii="Avenir Book" w:eastAsia="Times New Roman" w:hAnsi="Avenir Book" w:cs="Avenir Book"/>
          <w:kern w:val="0"/>
          <w:sz w:val="36"/>
          <w:szCs w:val="36"/>
          <w14:ligatures w14:val="none"/>
        </w:rPr>
        <w:t xml:space="preserve"> Control LOs operating in the same market window grew across every metric: Imports +3%, Submissions +8%, Locks +22%, EQ visits +32%. The market was a tailwind during the pilot period, not a headwind. This makes Treatment's declines impossible to attribute to external conditions. The only difference between groups was exposure to dynamic pricing.</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8. Market-adjusted Treatment impact is uniformly negative across all funnel stages</w:t>
      </w:r>
      <w:r w:rsidRPr="00AD194B">
        <w:rPr>
          <w:rFonts w:ascii="Avenir Book" w:eastAsia="Times New Roman" w:hAnsi="Avenir Book" w:cs="Avenir Book"/>
          <w:kern w:val="0"/>
          <w:sz w:val="36"/>
          <w:szCs w:val="36"/>
          <w14:ligatures w14:val="none"/>
        </w:rPr>
        <w:t xml:space="preserve"> Using Unassigned as the organic market benchmark (which grew 11–21% across all metrics), the true market-adjusted impact of dynamic pricing on Treatment is: Imports −21pp, Submissions −36pp, Locks −9pp, Wires −21pp. Not a single funnel stage shows a positive market-adjusted effect. This convergence of negative signals across all stages constitutes strong evidence of systemic harm.</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9. LOs are demanding pricing flexibility tools — buydowns cited on 35% of all calls</w:t>
      </w:r>
      <w:r w:rsidRPr="00AD194B">
        <w:rPr>
          <w:rFonts w:ascii="Avenir Book" w:eastAsia="Times New Roman" w:hAnsi="Avenir Book" w:cs="Avenir Book"/>
          <w:kern w:val="0"/>
          <w:sz w:val="36"/>
          <w:szCs w:val="36"/>
          <w14:ligatures w14:val="none"/>
        </w:rPr>
        <w:t xml:space="preserve"> 35% of all calls (232 total) mentioned Temporary Rate Buydowns — the single most discussed differentiator in the entire call dataset. </w:t>
      </w:r>
      <w:r w:rsidRPr="00AD194B">
        <w:rPr>
          <w:rFonts w:ascii="Avenir Book" w:eastAsia="Times New Roman" w:hAnsi="Avenir Book" w:cs="Avenir Book"/>
          <w:kern w:val="0"/>
          <w:sz w:val="36"/>
          <w:szCs w:val="36"/>
          <w14:ligatures w14:val="none"/>
        </w:rPr>
        <w:lastRenderedPageBreak/>
        <w:t>With only a 1% buydown structure currently available, there is a material gap between what LOs need to compete and what the pricing system provides. Expanding buydown options is an actionable product enhancement that can partially offset competitive disadvantage independent of rate-level decisions.</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10. The pilot should be paused or substantially modified before any expansion</w:t>
      </w:r>
      <w:r w:rsidRPr="00AD194B">
        <w:rPr>
          <w:rFonts w:ascii="Avenir Book" w:eastAsia="Times New Roman" w:hAnsi="Avenir Book" w:cs="Avenir Book"/>
          <w:kern w:val="0"/>
          <w:sz w:val="36"/>
          <w:szCs w:val="36"/>
          <w14:ligatures w14:val="none"/>
        </w:rPr>
        <w:t xml:space="preserve"> Every available data dimension — funnel metrics, behavioral data, competitive scoring, and qualitative call intelligence — points in the same direction. The pilot is producing net-negative outcomes in a market environment that was favorable for all non-Treatment peers. The findings are not ambiguous. Expansion without addressing the identified pricing competitiveness, tool flexibility, and system reliability issues would compound the documented damage.</w:t>
      </w:r>
    </w:p>
    <w:p w:rsidR="00AD194B" w:rsidRPr="00AD194B" w:rsidRDefault="00D4520B" w:rsidP="00AD194B">
      <w:pPr>
        <w:spacing w:after="0" w:line="240" w:lineRule="auto"/>
        <w:rPr>
          <w:rFonts w:ascii="Avenir Book" w:eastAsia="Times New Roman" w:hAnsi="Avenir Book" w:cs="Avenir Book"/>
          <w:kern w:val="0"/>
          <w:sz w:val="36"/>
          <w:szCs w:val="36"/>
          <w14:ligatures w14:val="none"/>
        </w:rPr>
      </w:pPr>
      <w:r w:rsidRPr="00D4520B">
        <w:rPr>
          <w:rFonts w:ascii="Avenir Book" w:eastAsia="Times New Roman" w:hAnsi="Avenir Book" w:cs="Avenir Book"/>
          <w:noProof/>
          <w:kern w:val="0"/>
          <w:sz w:val="36"/>
          <w:szCs w:val="36"/>
        </w:rPr>
        <w:pict>
          <v:rect id="_x0000_i1025" alt="" style="width:468pt;height:.05pt;mso-width-percent:0;mso-height-percent:0;mso-width-percent:0;mso-height-percent:0" o:hralign="center" o:hrstd="t" o:hr="t" fillcolor="#a0a0a0" stroked="f"/>
        </w:pict>
      </w:r>
    </w:p>
    <w:p w:rsidR="00AD194B" w:rsidRPr="00AD194B" w:rsidRDefault="00AD194B" w:rsidP="00AD194B">
      <w:pPr>
        <w:spacing w:before="100" w:beforeAutospacing="1" w:after="100" w:afterAutospacing="1" w:line="240" w:lineRule="auto"/>
        <w:outlineLvl w:val="2"/>
        <w:rPr>
          <w:rFonts w:ascii="Avenir Book" w:eastAsia="Times New Roman" w:hAnsi="Avenir Book" w:cs="Avenir Book"/>
          <w:b/>
          <w:bCs/>
          <w:kern w:val="0"/>
          <w:sz w:val="27"/>
          <w:szCs w:val="27"/>
          <w14:ligatures w14:val="none"/>
        </w:rPr>
      </w:pPr>
      <w:r w:rsidRPr="00AD194B">
        <w:rPr>
          <w:rFonts w:ascii="Avenir Book" w:eastAsia="Times New Roman" w:hAnsi="Avenir Book" w:cs="Avenir Book"/>
          <w:b/>
          <w:bCs/>
          <w:kern w:val="0"/>
          <w:sz w:val="27"/>
          <w:szCs w:val="27"/>
          <w14:ligatures w14:val="none"/>
        </w:rPr>
        <w:t>Part II — 20 Detailed Insights</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1. Three-period submit rate erosion may signal pre-pilot behavioral anticipation</w:t>
      </w:r>
      <w:r w:rsidRPr="00AD194B">
        <w:rPr>
          <w:rFonts w:ascii="Avenir Book" w:eastAsia="Times New Roman" w:hAnsi="Avenir Book" w:cs="Avenir Book"/>
          <w:kern w:val="0"/>
          <w:sz w:val="36"/>
          <w:szCs w:val="36"/>
          <w14:ligatures w14:val="none"/>
        </w:rPr>
        <w:t xml:space="preserve"> The Submit/Import rate declined progressively: 48.2% (2025), 45.1% (pre-pilot Jan–Apr), 31.1% (pilot). The pre-pilot decline of 3.1pp from the 2025 baseline warrants investigation — it may indicate that the pilot announcement itself changed LO behavior </w:t>
      </w:r>
      <w:r w:rsidRPr="00AD194B">
        <w:rPr>
          <w:rFonts w:ascii="Avenir Book" w:eastAsia="Times New Roman" w:hAnsi="Avenir Book" w:cs="Avenir Book"/>
          <w:kern w:val="0"/>
          <w:sz w:val="36"/>
          <w:szCs w:val="36"/>
          <w14:ligatures w14:val="none"/>
        </w:rPr>
        <w:lastRenderedPageBreak/>
        <w:t>before Apr 20, or that market conditions were already tightening in early 2026. Isolating the cause of that pre-pilot decline would sharpen attribution of effects to dynamic pricing specifically.</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2. Treatment's 21-point market-adjusted import decline reveals pre-screening behavior</w:t>
      </w:r>
      <w:r w:rsidRPr="00AD194B">
        <w:rPr>
          <w:rFonts w:ascii="Avenir Book" w:eastAsia="Times New Roman" w:hAnsi="Avenir Book" w:cs="Avenir Book"/>
          <w:kern w:val="0"/>
          <w:sz w:val="36"/>
          <w:szCs w:val="36"/>
          <w14:ligatures w14:val="none"/>
        </w:rPr>
        <w:t xml:space="preserve"> Treatment imports fell −10% while Control grew +3% and Unassigned grew +11%. The market-adjusted gap at the very first funnel stage is −21 points. LOs are self-screening loans before importing them — only bringing loans they believe will generate acceptable dynamic prices. This pre-filtering means the true volume loss to the business is larger than submission data alone suggests, since screened-out loans never appear in any funnel metric.</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3. The 102-loan submission gap between Treatment and Control represents direct revenue impact</w:t>
      </w:r>
      <w:r w:rsidRPr="00AD194B">
        <w:rPr>
          <w:rFonts w:ascii="Avenir Book" w:eastAsia="Times New Roman" w:hAnsi="Avenir Book" w:cs="Avenir Book"/>
          <w:kern w:val="0"/>
          <w:sz w:val="36"/>
          <w:szCs w:val="36"/>
          <w14:ligatures w14:val="none"/>
        </w:rPr>
        <w:t xml:space="preserve"> In the 24-day window, Control submissions grew by +14 loans (185</w:t>
      </w:r>
      <w:r w:rsidRPr="00AD194B">
        <w:rPr>
          <w:rFonts w:ascii="Times New Roman" w:eastAsia="Times New Roman" w:hAnsi="Times New Roman" w:cs="Times New Roman"/>
          <w:kern w:val="0"/>
          <w:sz w:val="36"/>
          <w:szCs w:val="36"/>
          <w14:ligatures w14:val="none"/>
        </w:rPr>
        <w:t>→</w:t>
      </w:r>
      <w:r w:rsidRPr="00AD194B">
        <w:rPr>
          <w:rFonts w:ascii="Avenir Book" w:eastAsia="Times New Roman" w:hAnsi="Avenir Book" w:cs="Avenir Book"/>
          <w:kern w:val="0"/>
          <w:sz w:val="36"/>
          <w:szCs w:val="36"/>
          <w14:ligatures w14:val="none"/>
        </w:rPr>
        <w:t>199) while Treatment declined by −24 loans (96</w:t>
      </w:r>
      <w:r w:rsidRPr="00AD194B">
        <w:rPr>
          <w:rFonts w:ascii="Times New Roman" w:eastAsia="Times New Roman" w:hAnsi="Times New Roman" w:cs="Times New Roman"/>
          <w:kern w:val="0"/>
          <w:sz w:val="36"/>
          <w:szCs w:val="36"/>
          <w14:ligatures w14:val="none"/>
        </w:rPr>
        <w:t>→</w:t>
      </w:r>
      <w:r w:rsidRPr="00AD194B">
        <w:rPr>
          <w:rFonts w:ascii="Avenir Book" w:eastAsia="Times New Roman" w:hAnsi="Avenir Book" w:cs="Avenir Book"/>
          <w:kern w:val="0"/>
          <w:sz w:val="36"/>
          <w:szCs w:val="36"/>
          <w14:ligatures w14:val="none"/>
        </w:rPr>
        <w:t>72). Compared against the Unassigned baseline of +11%, the market-expected Treatment volume would have been approximately 107 submissions. Actual was 72 — a market-adjusted deficit of roughly 35 submissions in 24 days. At typical revenue-per-loan, this gap compounds materially over a full quarter.</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lastRenderedPageBreak/>
        <w:t>4. Lock underperformance will compound into a future pipeline deficit</w:t>
      </w:r>
      <w:r w:rsidRPr="00AD194B">
        <w:rPr>
          <w:rFonts w:ascii="Avenir Book" w:eastAsia="Times New Roman" w:hAnsi="Avenir Book" w:cs="Avenir Book"/>
          <w:kern w:val="0"/>
          <w:sz w:val="36"/>
          <w:szCs w:val="36"/>
          <w14:ligatures w14:val="none"/>
        </w:rPr>
        <w:t xml:space="preserve"> Treatment locks grew +12% vs. Control +22% and Unassigned +21% — roughly a 10-point underperformance against market peers. The loans not submitted today will not lock next month and will not wire the month after. The pipeline compression observed at submissions and imports will appear as lock and wire deficits 60–90 days from now. Current analysis likely understates the full revenue impact of this pilot.</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5. Wire declines confirm the compression is working through the full pipeline</w:t>
      </w:r>
      <w:r w:rsidRPr="00AD194B">
        <w:rPr>
          <w:rFonts w:ascii="Avenir Book" w:eastAsia="Times New Roman" w:hAnsi="Avenir Book" w:cs="Avenir Book"/>
          <w:kern w:val="0"/>
          <w:sz w:val="36"/>
          <w:szCs w:val="36"/>
          <w14:ligatures w14:val="none"/>
        </w:rPr>
        <w:t xml:space="preserve"> Treatment wires fell −10% (77</w:t>
      </w:r>
      <w:r w:rsidRPr="00AD194B">
        <w:rPr>
          <w:rFonts w:ascii="Times New Roman" w:eastAsia="Times New Roman" w:hAnsi="Times New Roman" w:cs="Times New Roman"/>
          <w:kern w:val="0"/>
          <w:sz w:val="36"/>
          <w:szCs w:val="36"/>
          <w14:ligatures w14:val="none"/>
        </w:rPr>
        <w:t>→</w:t>
      </w:r>
      <w:r w:rsidRPr="00AD194B">
        <w:rPr>
          <w:rFonts w:ascii="Avenir Book" w:eastAsia="Times New Roman" w:hAnsi="Avenir Book" w:cs="Avenir Book"/>
          <w:kern w:val="0"/>
          <w:sz w:val="36"/>
          <w:szCs w:val="36"/>
          <w14:ligatures w14:val="none"/>
        </w:rPr>
        <w:t>69) while Control held near-flat (+2%) and Unassigned grew +11%. Wires reflect loans submitted and locked in prior periods — meaning the −10% decline predates the Apr 20 pilot start and suggests pipeline weakness was already accumulating beforehand. This reinforces that pre-pilot submit rate declines were real and consequential, not a measurement artifact.</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6. EQ visit divergence is the clearest behavioral fingerprint of dynamic pricing adoption</w:t>
      </w:r>
      <w:r w:rsidRPr="00AD194B">
        <w:rPr>
          <w:rFonts w:ascii="Avenir Book" w:eastAsia="Times New Roman" w:hAnsi="Avenir Book" w:cs="Avenir Book"/>
          <w:kern w:val="0"/>
          <w:sz w:val="36"/>
          <w:szCs w:val="36"/>
          <w14:ligatures w14:val="none"/>
        </w:rPr>
        <w:t xml:space="preserve"> The 42-point gap (Control +32%, Treatment −10%) is the most extreme divergence in the study. It confirms Treatment LOs have transferred rate discovery to the dynamic engine. The critical unresolved question is whether the engine's output is being validated before submission — and the </w:t>
      </w:r>
      <w:r w:rsidRPr="00AD194B">
        <w:rPr>
          <w:rFonts w:ascii="Avenir Book" w:eastAsia="Times New Roman" w:hAnsi="Avenir Book" w:cs="Avenir Book"/>
          <w:kern w:val="0"/>
          <w:sz w:val="36"/>
          <w:szCs w:val="36"/>
          <w14:ligatures w14:val="none"/>
        </w:rPr>
        <w:lastRenderedPageBreak/>
        <w:t>submission data strongly suggests it is not. Human judgment has been removed from a quality-control step that was producing better outcomes.</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7. Control's EQ surge shows that increased rate-checking is a competitive advantage, not inefficiency</w:t>
      </w:r>
      <w:r w:rsidRPr="00AD194B">
        <w:rPr>
          <w:rFonts w:ascii="Avenir Book" w:eastAsia="Times New Roman" w:hAnsi="Avenir Book" w:cs="Avenir Book"/>
          <w:kern w:val="0"/>
          <w:sz w:val="36"/>
          <w:szCs w:val="36"/>
          <w14:ligatures w14:val="none"/>
        </w:rPr>
        <w:t xml:space="preserve"> Control LOs checking rates 32% more often while simultaneously growing submissions +8% and locks +22% directly contradicts any narrative that manual rate exploration is wasteful or redundant. In a competitive market, the LOs doing more rate-checking are outperforming. Treatment's removal of this behavior has not freed up productive time — it has removed a quality-control layer that was converting better.</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8. PRO Score gap doubled during the pilot — from 1.9 to 3.8 points</w:t>
      </w:r>
      <w:r w:rsidRPr="00AD194B">
        <w:rPr>
          <w:rFonts w:ascii="Avenir Book" w:eastAsia="Times New Roman" w:hAnsi="Avenir Book" w:cs="Avenir Book"/>
          <w:kern w:val="0"/>
          <w:sz w:val="36"/>
          <w:szCs w:val="36"/>
          <w14:ligatures w14:val="none"/>
        </w:rPr>
        <w:t xml:space="preserve"> Control started at 53.3 and Treatment at 51.4 (1.9-point gap). By end of pilot: Control 40.5, Treatment 36.7 (3.8-point gap). The gap doubled in 24 days. Both groups declined under market pressure, but Treatment's additional −5pp decline reflects the pricing engine generating less competitive rates. This is not statistical noise — it is a consistent, directional signal across a metric directly tied to loan competitive positioning.</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9. Unassigned PRO Score improvement (+39%) eliminates market conditions as the cause of decline</w:t>
      </w:r>
      <w:r w:rsidRPr="00AD194B">
        <w:rPr>
          <w:rFonts w:ascii="Avenir Book" w:eastAsia="Times New Roman" w:hAnsi="Avenir Book" w:cs="Avenir Book"/>
          <w:kern w:val="0"/>
          <w:sz w:val="36"/>
          <w:szCs w:val="36"/>
          <w14:ligatures w14:val="none"/>
        </w:rPr>
        <w:t xml:space="preserve"> Lower-baseline </w:t>
      </w:r>
      <w:r w:rsidRPr="00AD194B">
        <w:rPr>
          <w:rFonts w:ascii="Avenir Book" w:eastAsia="Times New Roman" w:hAnsi="Avenir Book" w:cs="Avenir Book"/>
          <w:kern w:val="0"/>
          <w:sz w:val="36"/>
          <w:szCs w:val="36"/>
          <w14:ligatures w14:val="none"/>
        </w:rPr>
        <w:lastRenderedPageBreak/>
        <w:t>Unassigned LOs improved from 20.0 to 27.8 (+39%) in the same window when both pilot groups declined 24–29%. If market conditions were causing PRO Score declines, Unassigned LOs would also have declined. They improved instead. The pilot — not the market — is the cause of PRO Score deterioration in Treatment and Control groups, with Treatment bearing the steeper cost.</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10. Funnel compression at submissions will cascade — the full revenue impact is 60–90 days away</w:t>
      </w:r>
      <w:r w:rsidRPr="00AD194B">
        <w:rPr>
          <w:rFonts w:ascii="Avenir Book" w:eastAsia="Times New Roman" w:hAnsi="Avenir Book" w:cs="Avenir Book"/>
          <w:kern w:val="0"/>
          <w:sz w:val="36"/>
          <w:szCs w:val="36"/>
          <w14:ligatures w14:val="none"/>
        </w:rPr>
        <w:t xml:space="preserve"> Standard mortgage pipeline timelines: a submission converts to a lock in ~30 days and to a wire in ~60–90 days. The −25% submission decline in this 24-day window will fully surface as lock underperformance in May and wire underperformance in June–July 2026. The current analysis is capturing only the leading edge of the impact. If the pilot continues unchanged, the financial consequences will be substantially larger than what is currently measurable.</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11. Pricing competitiveness complaints dominate — 83% of complaint calls are active pricing calls</w:t>
      </w:r>
      <w:r w:rsidRPr="00AD194B">
        <w:rPr>
          <w:rFonts w:ascii="Avenir Book" w:eastAsia="Times New Roman" w:hAnsi="Avenir Book" w:cs="Avenir Book"/>
          <w:kern w:val="0"/>
          <w:sz w:val="36"/>
          <w:szCs w:val="36"/>
          <w14:ligatures w14:val="none"/>
        </w:rPr>
        <w:t xml:space="preserve"> 83% of all complaint calls were also active pricing calls. This near-total overlap between complaints and pricing activity confirms that pricing is where value is being lost and trust is eroding. The 15% overall call contentiousness rate (1 in 7 calls) should be formally tracked as a customer </w:t>
      </w:r>
      <w:r w:rsidRPr="00AD194B">
        <w:rPr>
          <w:rFonts w:ascii="Avenir Book" w:eastAsia="Times New Roman" w:hAnsi="Avenir Book" w:cs="Avenir Book"/>
          <w:kern w:val="0"/>
          <w:sz w:val="36"/>
          <w:szCs w:val="36"/>
          <w14:ligatures w14:val="none"/>
        </w:rPr>
        <w:lastRenderedPageBreak/>
        <w:t>experience KPI. A rising rate during any pilot expansion would serve as an early-warning indicator of broader LO dissatisfaction.</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12. 25–50+ bps pricing gaps vs. WF, Chase, PennyMac represent a structural competitive disadvantage</w:t>
      </w:r>
      <w:r w:rsidRPr="00AD194B">
        <w:rPr>
          <w:rFonts w:ascii="Avenir Book" w:eastAsia="Times New Roman" w:hAnsi="Avenir Book" w:cs="Avenir Book"/>
          <w:kern w:val="0"/>
          <w:sz w:val="36"/>
          <w:szCs w:val="36"/>
          <w14:ligatures w14:val="none"/>
        </w:rPr>
        <w:t xml:space="preserve"> LOs are specifically naming Wells Fargo, Chase, and PennyMac as offering rates 25–50+ bps better. In mortgage lending, a 25bp disadvantage is the typical threshold for losing rate-sensitive borrowers. A 50bp disadvantage is a deal-killer. These are reported consistently enough to constitute a structural competitive pricing gap — not individual exceptions that can be explained away.</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13. The 1% buydown option is a structural gap — 35% of LOs are actively asking for more</w:t>
      </w:r>
      <w:r w:rsidRPr="00AD194B">
        <w:rPr>
          <w:rFonts w:ascii="Avenir Book" w:eastAsia="Times New Roman" w:hAnsi="Avenir Book" w:cs="Avenir Book"/>
          <w:kern w:val="0"/>
          <w:sz w:val="36"/>
          <w:szCs w:val="36"/>
          <w14:ligatures w14:val="none"/>
        </w:rPr>
        <w:t xml:space="preserve"> With 35% of all calls (232) mentioning Temporary Rate Buydowns as a key differentiator, and only 1% buydown structure currently available, the demand signal is unambiguous. Expanding to 2/1, 3/2/1, and permanent buydown structures would directly address the #1 discussed differentiator. This is an actionable product enhancement that can partially offset the competitive disadvantage independent of rate-level decisions.</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14. AE team bandwidth is being consumed by pricing friction — roughly 1 in 3 calls requires intervention</w:t>
      </w:r>
      <w:r w:rsidRPr="00AD194B">
        <w:rPr>
          <w:rFonts w:ascii="Avenir Book" w:eastAsia="Times New Roman" w:hAnsi="Avenir Book" w:cs="Avenir Book"/>
          <w:kern w:val="0"/>
          <w:sz w:val="36"/>
          <w:szCs w:val="36"/>
          <w14:ligatures w14:val="none"/>
        </w:rPr>
        <w:t xml:space="preserve"> 51% of </w:t>
      </w:r>
      <w:r w:rsidRPr="00AD194B">
        <w:rPr>
          <w:rFonts w:ascii="Avenir Book" w:eastAsia="Times New Roman" w:hAnsi="Avenir Book" w:cs="Avenir Book"/>
          <w:kern w:val="0"/>
          <w:sz w:val="36"/>
          <w:szCs w:val="36"/>
          <w14:ligatures w14:val="none"/>
        </w:rPr>
        <w:lastRenderedPageBreak/>
        <w:t>all calls contain an active lean price-out, and 63% of those require an AE to offer a solution or alternative. Net result: roughly one-third of all calls require AE intervention to work around competitive pricing gaps. This is a measurable, hidden operational cost of the current pricing positioning — one that constrains team capacity for higher-value activities but doesn't show up in any funnel metric.</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15. PRO Rankings awareness (22% of calls) signals a reputational risk as scores continue declining</w:t>
      </w:r>
      <w:r w:rsidRPr="00AD194B">
        <w:rPr>
          <w:rFonts w:ascii="Avenir Book" w:eastAsia="Times New Roman" w:hAnsi="Avenir Book" w:cs="Avenir Book"/>
          <w:kern w:val="0"/>
          <w:sz w:val="36"/>
          <w:szCs w:val="36"/>
          <w14:ligatures w14:val="none"/>
        </w:rPr>
        <w:t xml:space="preserve"> 22% of all calls (149) mentioned PRO Rankings — the #3 most discussed differentiator. LOs are actively aware of and sensitive to their ranking position. With both pilot groups experiencing 24–29% PRO Score declines, there is a compounding reputational risk: LOs whose scores decline due to dynamic pricing may associate the drop with the pilot and share that experience across LO networks, creating a chilling effect beyond the pilot cohort.</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16. Pricing system technical issues are compounding the competitive gap</w:t>
      </w:r>
      <w:r w:rsidRPr="00AD194B">
        <w:rPr>
          <w:rFonts w:ascii="Avenir Book" w:eastAsia="Times New Roman" w:hAnsi="Avenir Book" w:cs="Avenir Book"/>
          <w:kern w:val="0"/>
          <w:sz w:val="36"/>
          <w:szCs w:val="36"/>
          <w14:ligatures w14:val="none"/>
        </w:rPr>
        <w:t xml:space="preserve"> 15% of complaints cited technical issues: glitches, inability to price certain loan amounts, and double-counted comp in QM calculations. Technical failures layered on competitive pricing gaps create a compounding negative experience — LOs face both "the price is bad" and "the system won't let me price this </w:t>
      </w:r>
      <w:r w:rsidRPr="00AD194B">
        <w:rPr>
          <w:rFonts w:ascii="Avenir Book" w:eastAsia="Times New Roman" w:hAnsi="Avenir Book" w:cs="Avenir Book"/>
          <w:kern w:val="0"/>
          <w:sz w:val="36"/>
          <w:szCs w:val="36"/>
          <w14:ligatures w14:val="none"/>
        </w:rPr>
        <w:lastRenderedPageBreak/>
        <w:t>loan." Resolving technical issues is a near-term, actionable win that can reduce complaint volume and restore confidence without requiring any rate-level changes.</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17. Closing cost transparency is a separate, addressable complaint driver</w:t>
      </w:r>
      <w:r w:rsidRPr="00AD194B">
        <w:rPr>
          <w:rFonts w:ascii="Avenir Book" w:eastAsia="Times New Roman" w:hAnsi="Avenir Book" w:cs="Avenir Book"/>
          <w:kern w:val="0"/>
          <w:sz w:val="36"/>
          <w:szCs w:val="36"/>
          <w14:ligatures w14:val="none"/>
        </w:rPr>
        <w:t xml:space="preserve"> 20% of complaints were about fees and closing costs — credit report ($132), underwriting ($1,250), and lock extension fees described as often undisclosed upfront. These complaints appear structurally independent of dynamic pricing and likely affect both pilot and non-pilot LOs equally. Implementing upfront cost disclosure improvements — a product and process change — could substantially reduce this complaint category with no change to the pricing engine.</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18. Buy-down confusion points to LO education needs that exist regardless of pricing decisions</w:t>
      </w:r>
      <w:r w:rsidRPr="00AD194B">
        <w:rPr>
          <w:rFonts w:ascii="Avenir Book" w:eastAsia="Times New Roman" w:hAnsi="Avenir Book" w:cs="Avenir Book"/>
          <w:kern w:val="0"/>
          <w:sz w:val="36"/>
          <w:szCs w:val="36"/>
          <w14:ligatures w14:val="none"/>
        </w:rPr>
        <w:t xml:space="preserve"> 15% of complaints about buydown pricing cited confusion on costs, limited option availability, and concerns about DTI impacts and refi eligibility. Even if dynamic pricing is modified or paused, LOs will need additional training on buydown structures to compete effectively in the current rate environment. An LO education investment in buydown mechanics and qualification criteria is likely to yield competitive wins independent of what happens to dynamic pricing.</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lastRenderedPageBreak/>
        <w:t>19. The 24-day matched window methodology is robust — findings are not a timing artifact</w:t>
      </w:r>
      <w:r w:rsidRPr="00AD194B">
        <w:rPr>
          <w:rFonts w:ascii="Avenir Book" w:eastAsia="Times New Roman" w:hAnsi="Avenir Book" w:cs="Avenir Book"/>
          <w:kern w:val="0"/>
          <w:sz w:val="36"/>
          <w:szCs w:val="36"/>
          <w14:ligatures w14:val="none"/>
        </w:rPr>
        <w:t xml:space="preserve"> The analysis uses exactly 24 days before (Mar 27–Apr 19) and exactly 24 days during (Apr 20–May 13) the pilot, controlling for duration effects. The Unassigned group, operating in the same market window without pilot exposure, grew 11–21% across all metrics, confirming the market environment was favorable. Seasonal explanations, market slowdowns, or volume fluctuations cannot account for Treatment's declines. The methodology is sound and the findings are definitive within the measurement window.</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20. Five independent data streams converge on the same conclusion</w:t>
      </w:r>
      <w:r w:rsidRPr="00AD194B">
        <w:rPr>
          <w:rFonts w:ascii="Avenir Book" w:eastAsia="Times New Roman" w:hAnsi="Avenir Book" w:cs="Avenir Book"/>
          <w:kern w:val="0"/>
          <w:sz w:val="36"/>
          <w:szCs w:val="36"/>
          <w14:ligatures w14:val="none"/>
        </w:rPr>
        <w:t xml:space="preserve"> Five independent data dimensions — (1) funnel metrics, (2) behavioral data (EQ visits), (3) competitive scoring (PRO Score), (4) qualitative call intelligence (pricing complaints, buydown demand), and (5) market baseline control (Unassigned group) — all point in the same direction. When five distinct measurement approaches produce the same conclusion, the findings are robust. The null hypothesis — that dynamic pricing is not causing material harm — is not supported by any of these data streams.</w:t>
      </w:r>
    </w:p>
    <w:p w:rsidR="00AD194B" w:rsidRPr="00AD194B" w:rsidRDefault="00AD194B" w:rsidP="00AD194B">
      <w:pPr>
        <w:spacing w:before="100" w:beforeAutospacing="1" w:after="100" w:afterAutospacing="1" w:line="240" w:lineRule="auto"/>
        <w:outlineLvl w:val="1"/>
        <w:rPr>
          <w:rFonts w:ascii="Avenir Book" w:eastAsia="Times New Roman" w:hAnsi="Avenir Book" w:cs="Avenir Book"/>
          <w:b/>
          <w:bCs/>
          <w:kern w:val="0"/>
          <w:sz w:val="36"/>
          <w:szCs w:val="36"/>
          <w14:ligatures w14:val="none"/>
        </w:rPr>
      </w:pPr>
      <w:r w:rsidRPr="00AD194B">
        <w:rPr>
          <w:rFonts w:ascii="Avenir Book" w:eastAsia="Times New Roman" w:hAnsi="Avenir Book" w:cs="Avenir Book"/>
          <w:b/>
          <w:bCs/>
          <w:kern w:val="0"/>
          <w:sz w:val="36"/>
          <w:szCs w:val="36"/>
          <w14:ligatures w14:val="none"/>
        </w:rPr>
        <w:t>You said: What if I have to convey 10 sharp bullets, each with less than two lines?</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kern w:val="0"/>
          <w:sz w:val="36"/>
          <w:szCs w:val="36"/>
          <w14:ligatures w14:val="none"/>
        </w:rPr>
        <w:lastRenderedPageBreak/>
        <w:t>What if I have to convey 10 sharp bullets, each with less than two lines?</w:t>
      </w:r>
    </w:p>
    <w:p w:rsidR="00AD194B" w:rsidRPr="00AD194B" w:rsidRDefault="00AD194B" w:rsidP="00AD194B">
      <w:pPr>
        <w:spacing w:before="100" w:beforeAutospacing="1" w:after="100" w:afterAutospacing="1" w:line="240" w:lineRule="auto"/>
        <w:outlineLvl w:val="1"/>
        <w:rPr>
          <w:rFonts w:ascii="Avenir Book" w:eastAsia="Times New Roman" w:hAnsi="Avenir Book" w:cs="Avenir Book"/>
          <w:b/>
          <w:bCs/>
          <w:kern w:val="0"/>
          <w:sz w:val="36"/>
          <w:szCs w:val="36"/>
          <w14:ligatures w14:val="none"/>
        </w:rPr>
      </w:pPr>
      <w:r w:rsidRPr="00AD194B">
        <w:rPr>
          <w:rFonts w:ascii="Avenir Book" w:eastAsia="Times New Roman" w:hAnsi="Avenir Book" w:cs="Avenir Book"/>
          <w:b/>
          <w:bCs/>
          <w:kern w:val="0"/>
          <w:sz w:val="36"/>
          <w:szCs w:val="36"/>
          <w14:ligatures w14:val="none"/>
        </w:rPr>
        <w:t>Claude responded: Here are 10 sharp bullets for leadership:</w:t>
      </w:r>
    </w:p>
    <w:p w:rsidR="00AD194B" w:rsidRPr="00AD194B" w:rsidRDefault="00AD194B" w:rsidP="00AD194B">
      <w:pPr>
        <w:spacing w:after="0"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kern w:val="0"/>
          <w:sz w:val="36"/>
          <w:szCs w:val="36"/>
          <w14:ligatures w14:val="none"/>
        </w:rPr>
        <w:t>Thought process</w:t>
      </w:r>
    </w:p>
    <w:p w:rsidR="00AD194B" w:rsidRPr="00AD194B" w:rsidRDefault="00AD194B" w:rsidP="00AD194B">
      <w:pPr>
        <w:spacing w:after="0"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kern w:val="0"/>
          <w:sz w:val="36"/>
          <w:szCs w:val="36"/>
          <w14:ligatures w14:val="none"/>
        </w:rPr>
        <w:t>Thought process</w:t>
      </w:r>
    </w:p>
    <w:p w:rsidR="00AD194B" w:rsidRPr="00AD194B" w:rsidRDefault="00AD194B" w:rsidP="00AD194B">
      <w:p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kern w:val="0"/>
          <w:sz w:val="36"/>
          <w:szCs w:val="36"/>
          <w14:ligatures w14:val="none"/>
        </w:rPr>
        <w:t>Here are 10 sharp bullets for leadership:</w:t>
      </w:r>
    </w:p>
    <w:p w:rsidR="00AD194B" w:rsidRPr="00AD194B" w:rsidRDefault="00AD194B" w:rsidP="00AD194B">
      <w:pPr>
        <w:numPr>
          <w:ilvl w:val="0"/>
          <w:numId w:val="1"/>
        </w:num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Submit/Import rate collapsed from 48.2% (2025 baseline) to 31.1% during the pilot</w:t>
      </w:r>
      <w:r w:rsidRPr="00AD194B">
        <w:rPr>
          <w:rFonts w:ascii="Avenir Book" w:eastAsia="Times New Roman" w:hAnsi="Avenir Book" w:cs="Avenir Book"/>
          <w:kern w:val="0"/>
          <w:sz w:val="36"/>
          <w:szCs w:val="36"/>
          <w14:ligatures w14:val="none"/>
        </w:rPr>
        <w:t xml:space="preserve"> — a 17-point drop in funnel efficiency directly tied to the dynamic pricing window.</w:t>
      </w:r>
    </w:p>
    <w:p w:rsidR="00AD194B" w:rsidRPr="00AD194B" w:rsidRDefault="00AD194B" w:rsidP="00AD194B">
      <w:pPr>
        <w:numPr>
          <w:ilvl w:val="0"/>
          <w:numId w:val="1"/>
        </w:num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Treatment submissions fell 25% while the market grew 11%</w:t>
      </w:r>
      <w:r w:rsidRPr="00AD194B">
        <w:rPr>
          <w:rFonts w:ascii="Avenir Book" w:eastAsia="Times New Roman" w:hAnsi="Avenir Book" w:cs="Avenir Book"/>
          <w:kern w:val="0"/>
          <w:sz w:val="36"/>
          <w:szCs w:val="36"/>
          <w14:ligatures w14:val="none"/>
        </w:rPr>
        <w:t xml:space="preserve"> — a 36-point gap against peers operating in the exact same conditions.</w:t>
      </w:r>
    </w:p>
    <w:p w:rsidR="00AD194B" w:rsidRPr="00AD194B" w:rsidRDefault="00AD194B" w:rsidP="00AD194B">
      <w:pPr>
        <w:numPr>
          <w:ilvl w:val="0"/>
          <w:numId w:val="1"/>
        </w:num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LOs are pre-filtering loans before they even enter the system</w:t>
      </w:r>
      <w:r w:rsidRPr="00AD194B">
        <w:rPr>
          <w:rFonts w:ascii="Avenir Book" w:eastAsia="Times New Roman" w:hAnsi="Avenir Book" w:cs="Avenir Book"/>
          <w:kern w:val="0"/>
          <w:sz w:val="36"/>
          <w:szCs w:val="36"/>
          <w14:ligatures w14:val="none"/>
        </w:rPr>
        <w:t xml:space="preserve"> — Treatment imports declined 10% vs. a market baseline of +11%, signaling a top-of-funnel confidence crisis.</w:t>
      </w:r>
    </w:p>
    <w:p w:rsidR="00AD194B" w:rsidRPr="00AD194B" w:rsidRDefault="00AD194B" w:rsidP="00AD194B">
      <w:pPr>
        <w:numPr>
          <w:ilvl w:val="0"/>
          <w:numId w:val="1"/>
        </w:num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Control grew at every stage; Treatment declined at every stage</w:t>
      </w:r>
      <w:r w:rsidRPr="00AD194B">
        <w:rPr>
          <w:rFonts w:ascii="Avenir Book" w:eastAsia="Times New Roman" w:hAnsi="Avenir Book" w:cs="Avenir Book"/>
          <w:kern w:val="0"/>
          <w:sz w:val="36"/>
          <w:szCs w:val="36"/>
          <w14:ligatures w14:val="none"/>
        </w:rPr>
        <w:t xml:space="preserve"> — Locks +22% vs. +12%, Submissions +8% vs. −25%, in the same 24-day market window.</w:t>
      </w:r>
    </w:p>
    <w:p w:rsidR="00AD194B" w:rsidRPr="00AD194B" w:rsidRDefault="00AD194B" w:rsidP="00AD194B">
      <w:pPr>
        <w:numPr>
          <w:ilvl w:val="0"/>
          <w:numId w:val="1"/>
        </w:num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Treatment LOs stopped manually checking rates (−10% EQ visits) while Control surged (+32%)</w:t>
      </w:r>
      <w:r w:rsidRPr="00AD194B">
        <w:rPr>
          <w:rFonts w:ascii="Avenir Book" w:eastAsia="Times New Roman" w:hAnsi="Avenir Book" w:cs="Avenir Book"/>
          <w:kern w:val="0"/>
          <w:sz w:val="36"/>
          <w:szCs w:val="36"/>
          <w14:ligatures w14:val="none"/>
        </w:rPr>
        <w:t xml:space="preserve"> — the </w:t>
      </w:r>
      <w:r w:rsidRPr="00AD194B">
        <w:rPr>
          <w:rFonts w:ascii="Avenir Book" w:eastAsia="Times New Roman" w:hAnsi="Avenir Book" w:cs="Avenir Book"/>
          <w:kern w:val="0"/>
          <w:sz w:val="36"/>
          <w:szCs w:val="36"/>
          <w14:ligatures w14:val="none"/>
        </w:rPr>
        <w:lastRenderedPageBreak/>
        <w:t>engine replaced human judgment without delivering competitive output.</w:t>
      </w:r>
    </w:p>
    <w:p w:rsidR="00AD194B" w:rsidRPr="00AD194B" w:rsidRDefault="00AD194B" w:rsidP="00AD194B">
      <w:pPr>
        <w:numPr>
          <w:ilvl w:val="0"/>
          <w:numId w:val="1"/>
        </w:num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LOs report UWM rates are 25–50+ bps worse than WF, Chase, and PennyMac</w:t>
      </w:r>
      <w:r w:rsidRPr="00AD194B">
        <w:rPr>
          <w:rFonts w:ascii="Avenir Book" w:eastAsia="Times New Roman" w:hAnsi="Avenir Book" w:cs="Avenir Book"/>
          <w:kern w:val="0"/>
          <w:sz w:val="36"/>
          <w:szCs w:val="36"/>
          <w14:ligatures w14:val="none"/>
        </w:rPr>
        <w:t xml:space="preserve"> — cited in 40% of complaint calls as the primary reason loans are being lost.</w:t>
      </w:r>
    </w:p>
    <w:p w:rsidR="00AD194B" w:rsidRPr="00AD194B" w:rsidRDefault="00AD194B" w:rsidP="00AD194B">
      <w:pPr>
        <w:numPr>
          <w:ilvl w:val="0"/>
          <w:numId w:val="1"/>
        </w:num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Treatment PRO Score fell 5 points steeper than Control (−29% vs. −24%)</w:t>
      </w:r>
      <w:r w:rsidRPr="00AD194B">
        <w:rPr>
          <w:rFonts w:ascii="Avenir Book" w:eastAsia="Times New Roman" w:hAnsi="Avenir Book" w:cs="Avenir Book"/>
          <w:kern w:val="0"/>
          <w:sz w:val="36"/>
          <w:szCs w:val="36"/>
          <w14:ligatures w14:val="none"/>
        </w:rPr>
        <w:t xml:space="preserve"> — both groups started nearly equal, so the additional decline is entirely pilot-induced.</w:t>
      </w:r>
    </w:p>
    <w:p w:rsidR="00AD194B" w:rsidRPr="00AD194B" w:rsidRDefault="00AD194B" w:rsidP="00AD194B">
      <w:pPr>
        <w:numPr>
          <w:ilvl w:val="0"/>
          <w:numId w:val="1"/>
        </w:num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The pipeline compression today becomes a revenue deficit in 60–90 days</w:t>
      </w:r>
      <w:r w:rsidRPr="00AD194B">
        <w:rPr>
          <w:rFonts w:ascii="Avenir Book" w:eastAsia="Times New Roman" w:hAnsi="Avenir Book" w:cs="Avenir Book"/>
          <w:kern w:val="0"/>
          <w:sz w:val="36"/>
          <w:szCs w:val="36"/>
          <w14:ligatures w14:val="none"/>
        </w:rPr>
        <w:t xml:space="preserve"> — loans not submitted now won't lock next month or wire the month after.</w:t>
      </w:r>
    </w:p>
    <w:p w:rsidR="00AD194B" w:rsidRPr="00AD194B" w:rsidRDefault="00AD194B" w:rsidP="00AD194B">
      <w:pPr>
        <w:numPr>
          <w:ilvl w:val="0"/>
          <w:numId w:val="1"/>
        </w:num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35% of all calls asked for rate buydown tools that don't exist yet</w:t>
      </w:r>
      <w:r w:rsidRPr="00AD194B">
        <w:rPr>
          <w:rFonts w:ascii="Avenir Book" w:eastAsia="Times New Roman" w:hAnsi="Avenir Book" w:cs="Avenir Book"/>
          <w:kern w:val="0"/>
          <w:sz w:val="36"/>
          <w:szCs w:val="36"/>
          <w14:ligatures w14:val="none"/>
        </w:rPr>
        <w:t xml:space="preserve"> — the #1 differentiator discussed, with only a 1% buydown option currently available.</w:t>
      </w:r>
    </w:p>
    <w:p w:rsidR="00AD194B" w:rsidRPr="00AD194B" w:rsidRDefault="00AD194B" w:rsidP="00AD194B">
      <w:pPr>
        <w:numPr>
          <w:ilvl w:val="0"/>
          <w:numId w:val="1"/>
        </w:numPr>
        <w:spacing w:before="100" w:beforeAutospacing="1" w:after="100" w:afterAutospacing="1" w:line="240" w:lineRule="auto"/>
        <w:rPr>
          <w:rFonts w:ascii="Avenir Book" w:eastAsia="Times New Roman" w:hAnsi="Avenir Book" w:cs="Avenir Book"/>
          <w:kern w:val="0"/>
          <w:sz w:val="36"/>
          <w:szCs w:val="36"/>
          <w14:ligatures w14:val="none"/>
        </w:rPr>
      </w:pPr>
      <w:r w:rsidRPr="00AD194B">
        <w:rPr>
          <w:rFonts w:ascii="Avenir Book" w:eastAsia="Times New Roman" w:hAnsi="Avenir Book" w:cs="Avenir Book"/>
          <w:b/>
          <w:bCs/>
          <w:kern w:val="0"/>
          <w:sz w:val="36"/>
          <w:szCs w:val="36"/>
          <w14:ligatures w14:val="none"/>
        </w:rPr>
        <w:t>Five independent data streams — funnel metrics, EQ behavior, PRO Score, call intelligence, and market baseline — all point the same direction: pause before expanding.</w:t>
      </w:r>
    </w:p>
    <w:p w:rsidR="005D4B77" w:rsidRDefault="005D4B77"/>
    <w:sectPr w:rsidR="005D4B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odchasan">
    <w:panose1 w:val="00000500000000000000"/>
    <w:charset w:val="DE"/>
    <w:family w:val="auto"/>
    <w:pitch w:val="variable"/>
    <w:sig w:usb0="21000007" w:usb1="00000001" w:usb2="00000000" w:usb3="00000000" w:csb0="00010193" w:csb1="00000000"/>
  </w:font>
  <w:font w:name="Aptos">
    <w:panose1 w:val="020B0004020202020204"/>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37FFB"/>
    <w:multiLevelType w:val="multilevel"/>
    <w:tmpl w:val="1FBCB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2265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94B"/>
    <w:rsid w:val="004B2D24"/>
    <w:rsid w:val="005D4B77"/>
    <w:rsid w:val="00810B50"/>
    <w:rsid w:val="00AD194B"/>
    <w:rsid w:val="00D45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DB7E0C-0400-884D-B736-A22F59C1A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Kodchasan" w:eastAsiaTheme="minorHAnsi" w:hAnsi="Kodchasan" w:cs="Kartika"/>
        <w:kern w:val="2"/>
        <w:sz w:val="5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1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194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9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194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D19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19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194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194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1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194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94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D194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D19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19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19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19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194B"/>
    <w:pPr>
      <w:spacing w:after="80" w:line="240" w:lineRule="auto"/>
      <w:contextualSpacing/>
    </w:pPr>
    <w:rPr>
      <w:rFonts w:asciiTheme="majorHAnsi" w:eastAsiaTheme="majorEastAsia" w:hAnsiTheme="majorHAnsi" w:cstheme="majorBidi"/>
      <w:spacing w:val="-10"/>
      <w:kern w:val="28"/>
      <w:szCs w:val="56"/>
    </w:rPr>
  </w:style>
  <w:style w:type="character" w:customStyle="1" w:styleId="TitleChar">
    <w:name w:val="Title Char"/>
    <w:basedOn w:val="DefaultParagraphFont"/>
    <w:link w:val="Title"/>
    <w:uiPriority w:val="10"/>
    <w:rsid w:val="00AD194B"/>
    <w:rPr>
      <w:rFonts w:asciiTheme="majorHAnsi" w:eastAsiaTheme="majorEastAsia" w:hAnsiTheme="majorHAnsi" w:cstheme="majorBidi"/>
      <w:spacing w:val="-10"/>
      <w:kern w:val="28"/>
      <w:szCs w:val="56"/>
    </w:rPr>
  </w:style>
  <w:style w:type="paragraph" w:styleId="Subtitle">
    <w:name w:val="Subtitle"/>
    <w:basedOn w:val="Normal"/>
    <w:next w:val="Normal"/>
    <w:link w:val="SubtitleChar"/>
    <w:uiPriority w:val="11"/>
    <w:qFormat/>
    <w:rsid w:val="00AD194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94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D194B"/>
    <w:pPr>
      <w:spacing w:before="160"/>
      <w:jc w:val="center"/>
    </w:pPr>
    <w:rPr>
      <w:i/>
      <w:iCs/>
      <w:color w:val="404040" w:themeColor="text1" w:themeTint="BF"/>
    </w:rPr>
  </w:style>
  <w:style w:type="character" w:customStyle="1" w:styleId="QuoteChar">
    <w:name w:val="Quote Char"/>
    <w:basedOn w:val="DefaultParagraphFont"/>
    <w:link w:val="Quote"/>
    <w:uiPriority w:val="29"/>
    <w:rsid w:val="00AD194B"/>
    <w:rPr>
      <w:i/>
      <w:iCs/>
      <w:color w:val="404040" w:themeColor="text1" w:themeTint="BF"/>
    </w:rPr>
  </w:style>
  <w:style w:type="paragraph" w:styleId="ListParagraph">
    <w:name w:val="List Paragraph"/>
    <w:basedOn w:val="Normal"/>
    <w:uiPriority w:val="34"/>
    <w:qFormat/>
    <w:rsid w:val="00AD194B"/>
    <w:pPr>
      <w:ind w:left="720"/>
      <w:contextualSpacing/>
    </w:pPr>
  </w:style>
  <w:style w:type="character" w:styleId="IntenseEmphasis">
    <w:name w:val="Intense Emphasis"/>
    <w:basedOn w:val="DefaultParagraphFont"/>
    <w:uiPriority w:val="21"/>
    <w:qFormat/>
    <w:rsid w:val="00AD194B"/>
    <w:rPr>
      <w:i/>
      <w:iCs/>
      <w:color w:val="0F4761" w:themeColor="accent1" w:themeShade="BF"/>
    </w:rPr>
  </w:style>
  <w:style w:type="paragraph" w:styleId="IntenseQuote">
    <w:name w:val="Intense Quote"/>
    <w:basedOn w:val="Normal"/>
    <w:next w:val="Normal"/>
    <w:link w:val="IntenseQuoteChar"/>
    <w:uiPriority w:val="30"/>
    <w:qFormat/>
    <w:rsid w:val="00AD1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94B"/>
    <w:rPr>
      <w:i/>
      <w:iCs/>
      <w:color w:val="0F4761" w:themeColor="accent1" w:themeShade="BF"/>
    </w:rPr>
  </w:style>
  <w:style w:type="character" w:styleId="IntenseReference">
    <w:name w:val="Intense Reference"/>
    <w:basedOn w:val="DefaultParagraphFont"/>
    <w:uiPriority w:val="32"/>
    <w:qFormat/>
    <w:rsid w:val="00AD194B"/>
    <w:rPr>
      <w:b/>
      <w:bCs/>
      <w:smallCaps/>
      <w:color w:val="0F4761" w:themeColor="accent1" w:themeShade="BF"/>
      <w:spacing w:val="5"/>
    </w:rPr>
  </w:style>
  <w:style w:type="paragraph" w:customStyle="1" w:styleId="font-claude-response-body">
    <w:name w:val="font-claude-response-body"/>
    <w:basedOn w:val="Normal"/>
    <w:rsid w:val="00AD194B"/>
    <w:pPr>
      <w:spacing w:before="100" w:beforeAutospacing="1" w:after="100" w:afterAutospacing="1" w:line="240" w:lineRule="auto"/>
    </w:pPr>
    <w:rPr>
      <w:rFonts w:ascii="Avenir Book" w:eastAsia="Times New Roman" w:hAnsi="Avenir Book" w:cs="Avenir Book"/>
      <w:kern w:val="0"/>
      <w:sz w:val="36"/>
      <w:szCs w:val="36"/>
      <w14:ligatures w14:val="none"/>
    </w:rPr>
  </w:style>
  <w:style w:type="character" w:styleId="Strong">
    <w:name w:val="Strong"/>
    <w:basedOn w:val="DefaultParagraphFont"/>
    <w:uiPriority w:val="22"/>
    <w:qFormat/>
    <w:rsid w:val="00AD194B"/>
    <w:rPr>
      <w:b/>
      <w:bCs/>
    </w:rPr>
  </w:style>
  <w:style w:type="paragraph" w:customStyle="1" w:styleId="whitespace-pre-wrap">
    <w:name w:val="whitespace-pre-wrap"/>
    <w:basedOn w:val="Normal"/>
    <w:rsid w:val="00AD194B"/>
    <w:pPr>
      <w:spacing w:before="100" w:beforeAutospacing="1" w:after="100" w:afterAutospacing="1" w:line="240" w:lineRule="auto"/>
    </w:pPr>
    <w:rPr>
      <w:rFonts w:ascii="Avenir Book" w:eastAsia="Times New Roman" w:hAnsi="Avenir Book" w:cs="Avenir Book"/>
      <w:kern w:val="0"/>
      <w:sz w:val="36"/>
      <w:szCs w:val="36"/>
      <w14:ligatures w14:val="none"/>
    </w:rPr>
  </w:style>
  <w:style w:type="character" w:customStyle="1" w:styleId="truncate">
    <w:name w:val="truncate"/>
    <w:basedOn w:val="DefaultParagraphFont"/>
    <w:rsid w:val="00AD194B"/>
  </w:style>
  <w:style w:type="character" w:customStyle="1" w:styleId="inline-flex">
    <w:name w:val="inline-flex"/>
    <w:basedOn w:val="DefaultParagraphFont"/>
    <w:rsid w:val="00AD194B"/>
  </w:style>
  <w:style w:type="character" w:customStyle="1" w:styleId="sr-only">
    <w:name w:val="sr-only"/>
    <w:basedOn w:val="DefaultParagraphFont"/>
    <w:rsid w:val="00AD19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2517</Words>
  <Characters>14350</Characters>
  <Application>Microsoft Office Word</Application>
  <DocSecurity>0</DocSecurity>
  <Lines>119</Lines>
  <Paragraphs>33</Paragraphs>
  <ScaleCrop>false</ScaleCrop>
  <Company/>
  <LinksUpToDate>false</LinksUpToDate>
  <CharactersWithSpaces>16834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Pandilla</dc:creator>
  <cp:keywords/>
  <dc:description/>
  <cp:lastModifiedBy>Sandeep Pandilla</cp:lastModifiedBy>
  <cp:revision>1</cp:revision>
  <dcterms:created xsi:type="dcterms:W3CDTF">2026-05-14T12:06:00Z</dcterms:created>
  <dcterms:modified xsi:type="dcterms:W3CDTF">2026-05-14T12:08:00Z</dcterms:modified>
</cp:coreProperties>
</file>