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56"/>
        </w:rPr>
        <w:t>Dynamic Pricing Pilot</w:t>
      </w:r>
    </w:p>
    <w:p>
      <w:pPr>
        <w:spacing w:after="80"/>
      </w:pPr>
      <w:r>
        <w:rPr>
          <w:rFonts w:ascii="Arial" w:hAnsi="Arial"/>
          <w:color w:val="64748B"/>
          <w:sz w:val="30"/>
        </w:rPr>
        <w:t>A/B Test — Executive Summary &amp; Detailed Analysis</w:t>
      </w:r>
    </w:p>
    <w:p>
      <w:pPr>
        <w:spacing w:after="200"/>
      </w:pPr>
      <w:r>
        <w:rPr>
          <w:rFonts w:ascii="Arial" w:hAnsi="Arial"/>
          <w:color w:val="64748B"/>
          <w:sz w:val="20"/>
        </w:rPr>
        <w:t>Pilot: Apr 20, 2026 – present</w:t>
      </w:r>
      <w:r>
        <w:rPr>
          <w:rFonts w:ascii="Arial" w:hAnsi="Arial"/>
          <w:color w:val="CBD5E1"/>
          <w:sz w:val="20"/>
        </w:rPr>
        <w:t xml:space="preserve">   ·   </w:t>
      </w:r>
      <w:r>
        <w:rPr>
          <w:rFonts w:ascii="Arial" w:hAnsi="Arial"/>
          <w:color w:val="64748B"/>
          <w:sz w:val="20"/>
        </w:rPr>
        <w:t>24-day matched windows</w:t>
      </w:r>
      <w:r>
        <w:rPr>
          <w:rFonts w:ascii="Arial" w:hAnsi="Arial"/>
          <w:color w:val="CBD5E1"/>
          <w:sz w:val="20"/>
        </w:rPr>
        <w:t xml:space="preserve">   ·   </w:t>
      </w:r>
      <w:r>
        <w:rPr>
          <w:rFonts w:ascii="Arial" w:hAnsi="Arial"/>
          <w:color w:val="64748B"/>
          <w:sz w:val="20"/>
        </w:rPr>
        <w:t>May 14, 2026</w:t>
      </w:r>
    </w:p>
    <w:p>
      <w:pPr>
        <w:spacing w:before="160" w:after="160"/>
        <w:pBdr>
          <w:bottom w:val="single" w:sz="6" w:space="4" w:color="CBD5E1"/>
        </w:pBdr>
      </w:pPr>
    </w:p>
    <w:p>
      <w:pPr>
        <w:spacing w:before="120" w:after="120"/>
      </w:pPr>
      <w:r>
        <w:rPr>
          <w:rFonts w:ascii="Arial" w:hAnsi="Arial"/>
          <w:b/>
          <w:color w:val="64748B"/>
          <w:sz w:val="22"/>
        </w:rPr>
        <w:t>Headline metrics at a glance</w:t>
      </w:r>
    </w:p>
    <w:p>
      <w:pPr>
        <w:spacing w:before="40" w:after="40"/>
        <w:ind w:left="360"/>
      </w:pPr>
      <w:r>
        <w:rPr>
          <w:rFonts w:ascii="Arial" w:hAnsi="Arial"/>
          <w:b/>
          <w:color w:val="791F1F"/>
          <w:sz w:val="44"/>
        </w:rPr>
        <w:t>31.1%</w:t>
      </w:r>
      <w:r>
        <w:rPr>
          <w:rFonts w:ascii="Arial" w:hAnsi="Arial"/>
          <w:color w:val="64748B"/>
          <w:sz w:val="22"/>
        </w:rPr>
        <w:t xml:space="preserve">  Submit/Import rate during pilot  (vs. 48.2% in 2025 baseline)</w:t>
      </w:r>
    </w:p>
    <w:p>
      <w:pPr>
        <w:spacing w:before="40" w:after="40"/>
        <w:ind w:left="360"/>
      </w:pPr>
      <w:r>
        <w:rPr>
          <w:rFonts w:ascii="Arial" w:hAnsi="Arial"/>
          <w:b/>
          <w:color w:val="791F1F"/>
          <w:sz w:val="44"/>
        </w:rPr>
        <w:t>−17.1pp</w:t>
      </w:r>
      <w:r>
        <w:rPr>
          <w:rFonts w:ascii="Arial" w:hAnsi="Arial"/>
          <w:color w:val="64748B"/>
          <w:sz w:val="22"/>
        </w:rPr>
        <w:t xml:space="preserve">  Pipeline conversion decline vs. 2025 baseline</w:t>
      </w:r>
    </w:p>
    <w:p>
      <w:pPr>
        <w:spacing w:before="40" w:after="40"/>
        <w:ind w:left="360"/>
      </w:pPr>
      <w:r>
        <w:rPr>
          <w:rFonts w:ascii="Arial" w:hAnsi="Arial"/>
          <w:b/>
          <w:color w:val="791F1F"/>
          <w:sz w:val="44"/>
        </w:rPr>
        <w:t>−25%</w:t>
      </w:r>
      <w:r>
        <w:rPr>
          <w:rFonts w:ascii="Arial" w:hAnsi="Arial"/>
          <w:color w:val="64748B"/>
          <w:sz w:val="22"/>
        </w:rPr>
        <w:t xml:space="preserve">  Treatment submission change  (market grew +11% in same window)</w:t>
      </w:r>
    </w:p>
    <w:p>
      <w:pPr>
        <w:spacing w:before="40" w:after="40"/>
        <w:ind w:left="360"/>
      </w:pPr>
      <w:r>
        <w:rPr>
          <w:rFonts w:ascii="Arial" w:hAnsi="Arial"/>
          <w:b/>
          <w:color w:val="791F1F"/>
          <w:sz w:val="44"/>
        </w:rPr>
        <w:t>−36pp</w:t>
      </w:r>
      <w:r>
        <w:rPr>
          <w:rFonts w:ascii="Arial" w:hAnsi="Arial"/>
          <w:color w:val="64748B"/>
          <w:sz w:val="22"/>
        </w:rPr>
        <w:t xml:space="preserve">  Market-adjusted submission gap for Treatment vs. Unassigned baseline</w:t>
      </w:r>
    </w:p>
    <w:p>
      <w:pPr>
        <w:spacing w:before="40" w:after="40"/>
        <w:ind w:left="360"/>
      </w:pPr>
      <w:r>
        <w:rPr>
          <w:rFonts w:ascii="Arial" w:hAnsi="Arial"/>
          <w:b/>
          <w:color w:val="854F0B"/>
          <w:sz w:val="44"/>
        </w:rPr>
        <w:t>−42pp</w:t>
      </w:r>
      <w:r>
        <w:rPr>
          <w:rFonts w:ascii="Arial" w:hAnsi="Arial"/>
          <w:color w:val="64748B"/>
          <w:sz w:val="22"/>
        </w:rPr>
        <w:t xml:space="preserve">  EQ visit divergence: Control +32% vs. Treatment −10%</w:t>
      </w:r>
    </w:p>
    <w:p>
      <w:pPr>
        <w:spacing w:before="160" w:after="160"/>
        <w:pBdr>
          <w:bottom w:val="single" w:sz="6" w:space="4" w:color="CBD5E1"/>
        </w:pBdr>
      </w:pPr>
    </w:p>
    <w:p>
      <w:pPr>
        <w:spacing w:before="160" w:after="120"/>
        <w:ind w:left="144"/>
        <w:shd w:val="clear" w:color="auto" w:fill="D4E6F7"/>
      </w:pPr>
      <w:r>
        <w:rPr>
          <w:rFonts w:ascii="Arial" w:hAnsi="Arial"/>
          <w:b/>
          <w:color w:val="185FA5"/>
          <w:sz w:val="28"/>
        </w:rPr>
        <w:t xml:space="preserve">  PART I — 10 Executive Insights</w:t>
      </w:r>
    </w:p>
    <w:p>
      <w:pPr>
        <w:spacing w:after="200"/>
      </w:pPr>
      <w:r>
        <w:rPr>
          <w:rFonts w:ascii="Arial" w:hAnsi="Arial"/>
          <w:i/>
          <w:color w:val="64748B"/>
          <w:sz w:val="21"/>
        </w:rPr>
        <w:t>Top-line findings for leadership decision-making. Each insight is grounded in the 24-day matched analysis.</w:t>
      </w:r>
    </w:p>
    <w:p>
      <w:pPr>
        <w:spacing w:before="320" w:after="80"/>
        <w:ind w:left="0"/>
      </w:pPr>
      <w:r>
        <w:rPr>
          <w:rFonts w:ascii="Arial" w:hAnsi="Arial"/>
          <w:b/>
          <w:color w:val="0F172A"/>
          <w:sz w:val="26"/>
        </w:rPr>
        <w:t xml:space="preserve">1.  </w:t>
      </w:r>
      <w:r>
        <w:rPr>
          <w:rFonts w:ascii="Arial" w:hAnsi="Arial"/>
          <w:b/>
          <w:color w:val="791F1F"/>
          <w:sz w:val="26"/>
        </w:rPr>
        <w:t>Pipeline conversion collapsed — 17.1pp drop in Submit/Import rate</w:t>
      </w:r>
    </w:p>
    <w:p>
      <w:pPr>
        <w:spacing w:before="40" w:after="160"/>
        <w:ind w:left="360"/>
      </w:pPr>
      <w:r>
        <w:rPr>
          <w:rFonts w:ascii="Arial" w:hAnsi="Arial"/>
          <w:color w:val="1E293B"/>
          <w:sz w:val="22"/>
        </w:rPr>
        <w:t xml:space="preserve">The headline metric tells the story in a single number. The Submit/Import rate fell from </w:t>
      </w:r>
      <w:r>
        <w:rPr>
          <w:rFonts w:ascii="Arial" w:hAnsi="Arial"/>
          <w:b/>
          <w:color w:val="0F172A"/>
          <w:sz w:val="22"/>
        </w:rPr>
        <w:t>48.2%</w:t>
      </w:r>
      <w:r>
        <w:rPr>
          <w:rFonts w:ascii="Arial" w:hAnsi="Arial"/>
          <w:color w:val="1E293B"/>
          <w:sz w:val="22"/>
        </w:rPr>
        <w:t xml:space="preserve"> (2025 full-year baseline) to </w:t>
      </w:r>
      <w:r>
        <w:rPr>
          <w:rFonts w:ascii="Arial" w:hAnsi="Arial"/>
          <w:b/>
          <w:color w:val="0F172A"/>
          <w:sz w:val="22"/>
        </w:rPr>
        <w:t>45.1%</w:t>
      </w:r>
      <w:r>
        <w:rPr>
          <w:rFonts w:ascii="Arial" w:hAnsi="Arial"/>
          <w:color w:val="1E293B"/>
          <w:sz w:val="22"/>
        </w:rPr>
        <w:t xml:space="preserve"> (pre-pilot) to </w:t>
      </w:r>
      <w:r>
        <w:rPr>
          <w:rFonts w:ascii="Arial" w:hAnsi="Arial"/>
          <w:b/>
          <w:color w:val="0F172A"/>
          <w:sz w:val="22"/>
        </w:rPr>
        <w:t>31.1%</w:t>
      </w:r>
      <w:r>
        <w:rPr>
          <w:rFonts w:ascii="Arial" w:hAnsi="Arial"/>
          <w:color w:val="1E293B"/>
          <w:sz w:val="22"/>
        </w:rPr>
        <w:t xml:space="preserve"> during the pilot — a </w:t>
      </w:r>
      <w:r>
        <w:rPr>
          <w:rFonts w:ascii="Arial" w:hAnsi="Arial"/>
          <w:b/>
          <w:color w:val="0F172A"/>
          <w:sz w:val="22"/>
        </w:rPr>
        <w:t>17.1 percentage-point</w:t>
      </w:r>
      <w:r>
        <w:rPr>
          <w:rFonts w:ascii="Arial" w:hAnsi="Arial"/>
          <w:color w:val="1E293B"/>
          <w:sz w:val="22"/>
        </w:rPr>
        <w:t xml:space="preserve"> decline vs. the 2025 baseline. This is not noise; it is a structural compression of funnel efficiency occurring precisely in the window when dynamic pricing was active.</w:t>
      </w:r>
    </w:p>
    <w:p>
      <w:pPr>
        <w:spacing w:before="320" w:after="80"/>
        <w:ind w:left="0"/>
      </w:pPr>
      <w:r>
        <w:rPr>
          <w:rFonts w:ascii="Arial" w:hAnsi="Arial"/>
          <w:b/>
          <w:color w:val="0F172A"/>
          <w:sz w:val="26"/>
        </w:rPr>
        <w:t xml:space="preserve">2.  </w:t>
      </w:r>
      <w:r>
        <w:rPr>
          <w:rFonts w:ascii="Arial" w:hAnsi="Arial"/>
          <w:b/>
          <w:color w:val="791F1F"/>
          <w:sz w:val="26"/>
        </w:rPr>
        <w:t>Treatment submissions fell 25% while the market grew 11%</w:t>
      </w:r>
    </w:p>
    <w:p>
      <w:pPr>
        <w:spacing w:before="40" w:after="160"/>
        <w:ind w:left="360"/>
      </w:pPr>
      <w:r>
        <w:rPr>
          <w:rFonts w:ascii="Arial" w:hAnsi="Arial"/>
          <w:color w:val="1E293B"/>
          <w:sz w:val="22"/>
        </w:rPr>
        <w:t xml:space="preserve">The sharpest single data point in the study. In the same 24-day window where the broader market (Unassigned group) grew submissions by </w:t>
      </w:r>
      <w:r>
        <w:rPr>
          <w:rFonts w:ascii="Arial" w:hAnsi="Arial"/>
          <w:b/>
          <w:color w:val="0F172A"/>
          <w:sz w:val="22"/>
        </w:rPr>
        <w:t>+11%</w:t>
      </w:r>
      <w:r>
        <w:rPr>
          <w:rFonts w:ascii="Arial" w:hAnsi="Arial"/>
          <w:color w:val="1E293B"/>
          <w:sz w:val="22"/>
        </w:rPr>
        <w:t xml:space="preserve"> and Control by </w:t>
      </w:r>
      <w:r>
        <w:rPr>
          <w:rFonts w:ascii="Arial" w:hAnsi="Arial"/>
          <w:b/>
          <w:color w:val="0F172A"/>
          <w:sz w:val="22"/>
        </w:rPr>
        <w:t>+8%</w:t>
      </w:r>
      <w:r>
        <w:rPr>
          <w:rFonts w:ascii="Arial" w:hAnsi="Arial"/>
          <w:color w:val="1E293B"/>
          <w:sz w:val="22"/>
        </w:rPr>
        <w:t xml:space="preserve">, Treatment submissions fell </w:t>
      </w:r>
      <w:r>
        <w:rPr>
          <w:rFonts w:ascii="Arial" w:hAnsi="Arial"/>
          <w:b/>
          <w:color w:val="0F172A"/>
          <w:sz w:val="22"/>
        </w:rPr>
        <w:t>−25%</w:t>
      </w:r>
      <w:r>
        <w:rPr>
          <w:rFonts w:ascii="Arial" w:hAnsi="Arial"/>
          <w:color w:val="1E293B"/>
          <w:sz w:val="22"/>
        </w:rPr>
        <w:t xml:space="preserve">. That is a </w:t>
      </w:r>
      <w:r>
        <w:rPr>
          <w:rFonts w:ascii="Arial" w:hAnsi="Arial"/>
          <w:b/>
          <w:color w:val="0F172A"/>
          <w:sz w:val="22"/>
        </w:rPr>
        <w:t>33–36 percentage-point gap against peers</w:t>
      </w:r>
      <w:r>
        <w:rPr>
          <w:rFonts w:ascii="Arial" w:hAnsi="Arial"/>
          <w:color w:val="1E293B"/>
          <w:sz w:val="22"/>
        </w:rPr>
        <w:t xml:space="preserve"> operating in an identical market environment. Dynamic pricing is directly suppressing which loans LOs choose to submit.</w:t>
      </w:r>
    </w:p>
    <w:p>
      <w:pPr>
        <w:spacing w:before="320" w:after="80"/>
        <w:ind w:left="0"/>
      </w:pPr>
      <w:r>
        <w:rPr>
          <w:rFonts w:ascii="Arial" w:hAnsi="Arial"/>
          <w:b/>
          <w:color w:val="0F172A"/>
          <w:sz w:val="26"/>
        </w:rPr>
        <w:t xml:space="preserve">3.  </w:t>
      </w:r>
      <w:r>
        <w:rPr>
          <w:rFonts w:ascii="Arial" w:hAnsi="Arial"/>
          <w:b/>
          <w:color w:val="791F1F"/>
          <w:sz w:val="26"/>
        </w:rPr>
        <w:t>LOs are pre-filtering loans before import — a top-of-funnel confidence crisis</w:t>
      </w:r>
    </w:p>
    <w:p>
      <w:pPr>
        <w:spacing w:before="40" w:after="160"/>
        <w:ind w:left="360"/>
      </w:pPr>
      <w:r>
        <w:rPr>
          <w:rFonts w:ascii="Arial" w:hAnsi="Arial"/>
          <w:color w:val="1E293B"/>
          <w:sz w:val="22"/>
        </w:rPr>
        <w:t xml:space="preserve">Treatment imports fell </w:t>
      </w:r>
      <w:r>
        <w:rPr>
          <w:rFonts w:ascii="Arial" w:hAnsi="Arial"/>
          <w:b/>
          <w:color w:val="0F172A"/>
          <w:sz w:val="22"/>
        </w:rPr>
        <w:t>−10%</w:t>
      </w:r>
      <w:r>
        <w:rPr>
          <w:rFonts w:ascii="Arial" w:hAnsi="Arial"/>
          <w:color w:val="1E293B"/>
          <w:sz w:val="22"/>
        </w:rPr>
        <w:t xml:space="preserve"> against a market baseline of </w:t>
      </w:r>
      <w:r>
        <w:rPr>
          <w:rFonts w:ascii="Arial" w:hAnsi="Arial"/>
          <w:b/>
          <w:color w:val="0F172A"/>
          <w:sz w:val="22"/>
        </w:rPr>
        <w:t>+11%</w:t>
      </w:r>
      <w:r>
        <w:rPr>
          <w:rFonts w:ascii="Arial" w:hAnsi="Arial"/>
          <w:color w:val="1E293B"/>
          <w:sz w:val="22"/>
        </w:rPr>
        <w:t xml:space="preserve"> — a </w:t>
      </w:r>
      <w:r>
        <w:rPr>
          <w:rFonts w:ascii="Arial" w:hAnsi="Arial"/>
          <w:b/>
          <w:color w:val="0F172A"/>
          <w:sz w:val="22"/>
        </w:rPr>
        <w:t>21-point market-adjusted swing at the very top of funnel</w:t>
      </w:r>
      <w:r>
        <w:rPr>
          <w:rFonts w:ascii="Arial" w:hAnsi="Arial"/>
          <w:color w:val="1E293B"/>
          <w:sz w:val="22"/>
        </w:rPr>
        <w:t>. LOs are not just failing to submit loans; they are evaluating and discarding loans before they enter the system at all. This self-censorship at the import stage is a clear signal that LOs have lost confidence in the dynamic pricing engine's ability to produce competitive rates.</w:t>
      </w:r>
    </w:p>
    <w:p>
      <w:pPr>
        <w:spacing w:before="320" w:after="80"/>
        <w:ind w:left="0"/>
      </w:pPr>
      <w:r>
        <w:rPr>
          <w:rFonts w:ascii="Arial" w:hAnsi="Arial"/>
          <w:b/>
          <w:color w:val="0F172A"/>
          <w:sz w:val="26"/>
        </w:rPr>
        <w:t xml:space="preserve">4.  </w:t>
      </w:r>
      <w:r>
        <w:rPr>
          <w:rFonts w:ascii="Arial" w:hAnsi="Arial"/>
          <w:b/>
          <w:color w:val="854F0B"/>
          <w:sz w:val="26"/>
        </w:rPr>
        <w:t>Dynamic pricing has fundamentally altered LO rate-checking behavior</w:t>
      </w:r>
    </w:p>
    <w:p>
      <w:pPr>
        <w:spacing w:before="40" w:after="160"/>
        <w:ind w:left="360"/>
      </w:pPr>
      <w:r>
        <w:rPr>
          <w:rFonts w:ascii="Arial" w:hAnsi="Arial"/>
          <w:color w:val="1E293B"/>
          <w:sz w:val="22"/>
        </w:rPr>
        <w:t xml:space="preserve">EQ visit data reveals a </w:t>
      </w:r>
      <w:r>
        <w:rPr>
          <w:rFonts w:ascii="Arial" w:hAnsi="Arial"/>
          <w:b/>
          <w:color w:val="0F172A"/>
          <w:sz w:val="22"/>
        </w:rPr>
        <w:t>42-point behavioral divergence</w:t>
      </w:r>
      <w:r>
        <w:rPr>
          <w:rFonts w:ascii="Arial" w:hAnsi="Arial"/>
          <w:color w:val="1E293B"/>
          <w:sz w:val="22"/>
        </w:rPr>
        <w:t xml:space="preserve">: Control LOs checked rates </w:t>
      </w:r>
      <w:r>
        <w:rPr>
          <w:rFonts w:ascii="Arial" w:hAnsi="Arial"/>
          <w:b/>
          <w:color w:val="0F172A"/>
          <w:sz w:val="22"/>
        </w:rPr>
        <w:t>+32%</w:t>
      </w:r>
      <w:r>
        <w:rPr>
          <w:rFonts w:ascii="Arial" w:hAnsi="Arial"/>
          <w:color w:val="1E293B"/>
          <w:sz w:val="22"/>
        </w:rPr>
        <w:t xml:space="preserve"> more often during the pilot; Treatment LOs checked </w:t>
      </w:r>
      <w:r>
        <w:rPr>
          <w:rFonts w:ascii="Arial" w:hAnsi="Arial"/>
          <w:b/>
          <w:color w:val="0F172A"/>
          <w:sz w:val="22"/>
        </w:rPr>
        <w:t>−10%</w:t>
      </w:r>
      <w:r>
        <w:rPr>
          <w:rFonts w:ascii="Arial" w:hAnsi="Arial"/>
          <w:color w:val="1E293B"/>
          <w:sz w:val="22"/>
        </w:rPr>
        <w:t xml:space="preserve"> less. Treatment LOs have transferred rate discovery entirely to the dynamic engine and stopped applying human judgment to validate competitiveness. They are working less yet achieving significantly less.</w:t>
      </w:r>
    </w:p>
    <w:p>
      <w:pPr>
        <w:spacing w:before="320" w:after="80"/>
        <w:ind w:left="0"/>
      </w:pPr>
      <w:r>
        <w:rPr>
          <w:rFonts w:ascii="Arial" w:hAnsi="Arial"/>
          <w:b/>
          <w:color w:val="0F172A"/>
          <w:sz w:val="26"/>
        </w:rPr>
        <w:t xml:space="preserve">5.  </w:t>
      </w:r>
      <w:r>
        <w:rPr>
          <w:rFonts w:ascii="Arial" w:hAnsi="Arial"/>
          <w:b/>
          <w:color w:val="791F1F"/>
          <w:sz w:val="26"/>
        </w:rPr>
        <w:t>Rates are 25–50+ bps uncompetitive vs. WF, Chase, and PennyMac</w:t>
      </w:r>
    </w:p>
    <w:p>
      <w:pPr>
        <w:spacing w:before="40" w:after="160"/>
        <w:ind w:left="360"/>
      </w:pPr>
      <w:r>
        <w:rPr>
          <w:rFonts w:ascii="Arial" w:hAnsi="Arial"/>
          <w:color w:val="1E293B"/>
          <w:sz w:val="22"/>
        </w:rPr>
      </w:r>
      <w:r>
        <w:rPr>
          <w:rFonts w:ascii="Arial" w:hAnsi="Arial"/>
          <w:b/>
          <w:color w:val="0F172A"/>
          <w:sz w:val="22"/>
        </w:rPr>
        <w:t>40% of complaint calls</w:t>
      </w:r>
      <w:r>
        <w:rPr>
          <w:rFonts w:ascii="Arial" w:hAnsi="Arial"/>
          <w:color w:val="1E293B"/>
          <w:sz w:val="22"/>
        </w:rPr>
        <w:t xml:space="preserve"> specifically named rate competitiveness as the issue, with LOs describing UWM rates as 'terrible' and </w:t>
      </w:r>
      <w:r>
        <w:rPr>
          <w:rFonts w:ascii="Arial" w:hAnsi="Arial"/>
          <w:b/>
          <w:color w:val="0F172A"/>
          <w:sz w:val="22"/>
        </w:rPr>
        <w:t>25–50+ bps worse</w:t>
      </w:r>
      <w:r>
        <w:rPr>
          <w:rFonts w:ascii="Arial" w:hAnsi="Arial"/>
          <w:color w:val="1E293B"/>
          <w:sz w:val="22"/>
        </w:rPr>
        <w:t xml:space="preserve"> than major competitors. A 25bp disadvantage is where LOs begin losing rate-sensitive borrowers. A 50bp disadvantage is a deal-killer. These are not hypothetical concerns — they are active pricing gaps being reported from live client conversations.</w:t>
      </w:r>
    </w:p>
    <w:p>
      <w:pPr>
        <w:spacing w:before="320" w:after="80"/>
        <w:ind w:left="0"/>
      </w:pPr>
      <w:r>
        <w:rPr>
          <w:rFonts w:ascii="Arial" w:hAnsi="Arial"/>
          <w:b/>
          <w:color w:val="0F172A"/>
          <w:sz w:val="26"/>
        </w:rPr>
        <w:t xml:space="preserve">6.  </w:t>
      </w:r>
      <w:r>
        <w:rPr>
          <w:rFonts w:ascii="Arial" w:hAnsi="Arial"/>
          <w:b/>
          <w:color w:val="854F0B"/>
          <w:sz w:val="26"/>
        </w:rPr>
        <w:t>PRO Score deterioration confirms pilot-induced competitive pricing decline</w:t>
      </w:r>
    </w:p>
    <w:p>
      <w:pPr>
        <w:spacing w:before="40" w:after="160"/>
        <w:ind w:left="360"/>
      </w:pPr>
      <w:r>
        <w:rPr>
          <w:rFonts w:ascii="Arial" w:hAnsi="Arial"/>
          <w:color w:val="1E293B"/>
          <w:sz w:val="22"/>
        </w:rPr>
        <w:t>Treatment and Control PRO Scores were nearly matched at baseline (</w:t>
      </w:r>
      <w:r>
        <w:rPr>
          <w:rFonts w:ascii="Arial" w:hAnsi="Arial"/>
          <w:b/>
          <w:color w:val="0F172A"/>
          <w:sz w:val="22"/>
        </w:rPr>
        <w:t>53.3 vs. 51.4</w:t>
      </w:r>
      <w:r>
        <w:rPr>
          <w:rFonts w:ascii="Arial" w:hAnsi="Arial"/>
          <w:color w:val="1E293B"/>
          <w:sz w:val="22"/>
        </w:rPr>
        <w:t xml:space="preserve"> — 1.9-point gap). By end of pilot, the gap doubled: </w:t>
      </w:r>
      <w:r>
        <w:rPr>
          <w:rFonts w:ascii="Arial" w:hAnsi="Arial"/>
          <w:b/>
          <w:color w:val="0F172A"/>
          <w:sz w:val="22"/>
        </w:rPr>
        <w:t>40.5 vs. 36.7</w:t>
      </w:r>
      <w:r>
        <w:rPr>
          <w:rFonts w:ascii="Arial" w:hAnsi="Arial"/>
          <w:color w:val="1E293B"/>
          <w:sz w:val="22"/>
        </w:rPr>
        <w:t xml:space="preserve"> — a 3.8-point gap. Both groups declined due to market conditions, but </w:t>
      </w:r>
      <w:r>
        <w:rPr>
          <w:rFonts w:ascii="Arial" w:hAnsi="Arial"/>
          <w:b/>
          <w:color w:val="0F172A"/>
          <w:sz w:val="22"/>
        </w:rPr>
        <w:t>Treatment fell 5 percentage points steeper (−29% vs. −24%)</w:t>
      </w:r>
      <w:r>
        <w:rPr>
          <w:rFonts w:ascii="Arial" w:hAnsi="Arial"/>
          <w:color w:val="1E293B"/>
          <w:sz w:val="22"/>
        </w:rPr>
        <w:t>. The additional 5pp decline is entirely attributable to dynamic pricing adjustments, not market forces.</w:t>
      </w:r>
    </w:p>
    <w:p>
      <w:pPr>
        <w:spacing w:before="320" w:after="80"/>
        <w:ind w:left="0"/>
      </w:pPr>
      <w:r>
        <w:rPr>
          <w:rFonts w:ascii="Arial" w:hAnsi="Arial"/>
          <w:b/>
          <w:color w:val="0F172A"/>
          <w:sz w:val="26"/>
        </w:rPr>
        <w:t xml:space="preserve">7.  </w:t>
      </w:r>
      <w:r>
        <w:rPr>
          <w:rFonts w:ascii="Arial" w:hAnsi="Arial"/>
          <w:b/>
          <w:color w:val="185FA5"/>
          <w:sz w:val="26"/>
        </w:rPr>
        <w:t>Control group confirms the market was healthy — dynamic pricing was the variable</w:t>
      </w:r>
    </w:p>
    <w:p>
      <w:pPr>
        <w:spacing w:before="40" w:after="160"/>
        <w:ind w:left="360"/>
      </w:pPr>
      <w:r>
        <w:rPr>
          <w:rFonts w:ascii="Arial" w:hAnsi="Arial"/>
          <w:color w:val="1E293B"/>
          <w:sz w:val="22"/>
        </w:rPr>
        <w:t xml:space="preserve">Control LOs in the same market window grew across every metric: Imports </w:t>
      </w:r>
      <w:r>
        <w:rPr>
          <w:rFonts w:ascii="Arial" w:hAnsi="Arial"/>
          <w:b/>
          <w:color w:val="0F172A"/>
          <w:sz w:val="22"/>
        </w:rPr>
        <w:t>+3%</w:t>
      </w:r>
      <w:r>
        <w:rPr>
          <w:rFonts w:ascii="Arial" w:hAnsi="Arial"/>
          <w:color w:val="1E293B"/>
          <w:sz w:val="22"/>
        </w:rPr>
        <w:t xml:space="preserve">, Submissions </w:t>
      </w:r>
      <w:r>
        <w:rPr>
          <w:rFonts w:ascii="Arial" w:hAnsi="Arial"/>
          <w:b/>
          <w:color w:val="0F172A"/>
          <w:sz w:val="22"/>
        </w:rPr>
        <w:t>+8%</w:t>
      </w:r>
      <w:r>
        <w:rPr>
          <w:rFonts w:ascii="Arial" w:hAnsi="Arial"/>
          <w:color w:val="1E293B"/>
          <w:sz w:val="22"/>
        </w:rPr>
        <w:t xml:space="preserve">, Locks </w:t>
      </w:r>
      <w:r>
        <w:rPr>
          <w:rFonts w:ascii="Arial" w:hAnsi="Arial"/>
          <w:b/>
          <w:color w:val="0F172A"/>
          <w:sz w:val="22"/>
        </w:rPr>
        <w:t>+22%</w:t>
      </w:r>
      <w:r>
        <w:rPr>
          <w:rFonts w:ascii="Arial" w:hAnsi="Arial"/>
          <w:color w:val="1E293B"/>
          <w:sz w:val="22"/>
        </w:rPr>
        <w:t xml:space="preserve">, EQ visits </w:t>
      </w:r>
      <w:r>
        <w:rPr>
          <w:rFonts w:ascii="Arial" w:hAnsi="Arial"/>
          <w:b/>
          <w:color w:val="0F172A"/>
          <w:sz w:val="22"/>
        </w:rPr>
        <w:t>+32%</w:t>
      </w:r>
      <w:r>
        <w:rPr>
          <w:rFonts w:ascii="Arial" w:hAnsi="Arial"/>
          <w:color w:val="1E293B"/>
          <w:sz w:val="22"/>
        </w:rPr>
        <w:t>. The market was a tailwind, not a headwind, during the pilot period. This makes Treatment's declines impossible to attribute to external conditions. The only difference between groups was exposure to dynamic pricing.</w:t>
      </w:r>
    </w:p>
    <w:p>
      <w:pPr>
        <w:spacing w:before="320" w:after="80"/>
        <w:ind w:left="0"/>
      </w:pPr>
      <w:r>
        <w:rPr>
          <w:rFonts w:ascii="Arial" w:hAnsi="Arial"/>
          <w:b/>
          <w:color w:val="0F172A"/>
          <w:sz w:val="26"/>
        </w:rPr>
        <w:t xml:space="preserve">8.  </w:t>
      </w:r>
      <w:r>
        <w:rPr>
          <w:rFonts w:ascii="Arial" w:hAnsi="Arial"/>
          <w:b/>
          <w:color w:val="791F1F"/>
          <w:sz w:val="26"/>
        </w:rPr>
        <w:t>Market-adjusted Treatment impact is uniformly negative across all funnel stages</w:t>
      </w:r>
    </w:p>
    <w:p>
      <w:pPr>
        <w:spacing w:before="40" w:after="160"/>
        <w:ind w:left="360"/>
      </w:pPr>
      <w:r>
        <w:rPr>
          <w:rFonts w:ascii="Arial" w:hAnsi="Arial"/>
          <w:color w:val="1E293B"/>
          <w:sz w:val="22"/>
        </w:rPr>
        <w:t xml:space="preserve">Using Unassigned as the organic market benchmark (grew 11–21% across all metrics), the true market-adjusted impact on Treatment is: </w:t>
      </w:r>
      <w:r>
        <w:rPr>
          <w:rFonts w:ascii="Arial" w:hAnsi="Arial"/>
          <w:b/>
          <w:color w:val="0F172A"/>
          <w:sz w:val="22"/>
        </w:rPr>
        <w:t>Imports −21pp, Submissions −36pp, Locks −9pp, Wires −21pp</w:t>
      </w:r>
      <w:r>
        <w:rPr>
          <w:rFonts w:ascii="Arial" w:hAnsi="Arial"/>
          <w:color w:val="1E293B"/>
          <w:sz w:val="22"/>
        </w:rPr>
        <w:t>. Not a single funnel stage shows a positive market-adjusted effect. This convergence of negative signals across all stages, with a clean control, constitutes strong evidence of systemic harm.</w:t>
      </w:r>
    </w:p>
    <w:p>
      <w:pPr>
        <w:spacing w:before="320" w:after="80"/>
        <w:ind w:left="0"/>
      </w:pPr>
      <w:r>
        <w:rPr>
          <w:rFonts w:ascii="Arial" w:hAnsi="Arial"/>
          <w:b/>
          <w:color w:val="0F172A"/>
          <w:sz w:val="26"/>
        </w:rPr>
        <w:t xml:space="preserve">9.  </w:t>
      </w:r>
      <w:r>
        <w:rPr>
          <w:rFonts w:ascii="Arial" w:hAnsi="Arial"/>
          <w:b/>
          <w:color w:val="854F0B"/>
          <w:sz w:val="26"/>
        </w:rPr>
        <w:t>LOs are demanding pricing flexibility tools — buydowns cited on 35% of all calls</w:t>
      </w:r>
    </w:p>
    <w:p>
      <w:pPr>
        <w:spacing w:before="40" w:after="160"/>
        <w:ind w:left="360"/>
      </w:pPr>
      <w:r>
        <w:rPr>
          <w:rFonts w:ascii="Arial" w:hAnsi="Arial"/>
          <w:color w:val="1E293B"/>
          <w:sz w:val="22"/>
        </w:rPr>
      </w:r>
      <w:r>
        <w:rPr>
          <w:rFonts w:ascii="Arial" w:hAnsi="Arial"/>
          <w:b/>
          <w:color w:val="0F172A"/>
          <w:sz w:val="22"/>
        </w:rPr>
        <w:t>35% of all calls (232 total)</w:t>
      </w:r>
      <w:r>
        <w:rPr>
          <w:rFonts w:ascii="Arial" w:hAnsi="Arial"/>
          <w:color w:val="1E293B"/>
          <w:sz w:val="22"/>
        </w:rPr>
        <w:t xml:space="preserve"> mentioned Temporary Rate Buydowns — the single most discussed differentiator. With only a </w:t>
      </w:r>
      <w:r>
        <w:rPr>
          <w:rFonts w:ascii="Arial" w:hAnsi="Arial"/>
          <w:b/>
          <w:color w:val="0F172A"/>
          <w:sz w:val="22"/>
        </w:rPr>
        <w:t>1% buydown structure currently available</w:t>
      </w:r>
      <w:r>
        <w:rPr>
          <w:rFonts w:ascii="Arial" w:hAnsi="Arial"/>
          <w:color w:val="1E293B"/>
          <w:sz w:val="22"/>
        </w:rPr>
        <w:t>, there is a material gap between what LOs need to compete and what the pricing system provides. Expanding buydown options is an actionable product enhancement that could partially offset competitive disadvantage independent of rate-level decisions.</w:t>
      </w:r>
    </w:p>
    <w:p>
      <w:pPr>
        <w:spacing w:before="320" w:after="80"/>
        <w:ind w:left="0"/>
      </w:pPr>
      <w:r>
        <w:rPr>
          <w:rFonts w:ascii="Arial" w:hAnsi="Arial"/>
          <w:b/>
          <w:color w:val="0F172A"/>
          <w:sz w:val="26"/>
        </w:rPr>
        <w:t xml:space="preserve">10.  </w:t>
      </w:r>
      <w:r>
        <w:rPr>
          <w:rFonts w:ascii="Arial" w:hAnsi="Arial"/>
          <w:b/>
          <w:color w:val="0F172A"/>
          <w:sz w:val="26"/>
        </w:rPr>
        <w:t>The pilot should be paused or substantially modified before any expansion</w:t>
      </w:r>
    </w:p>
    <w:p>
      <w:pPr>
        <w:spacing w:before="40" w:after="160"/>
        <w:ind w:left="360"/>
      </w:pPr>
      <w:r>
        <w:rPr>
          <w:rFonts w:ascii="Arial" w:hAnsi="Arial"/>
          <w:color w:val="1E293B"/>
          <w:sz w:val="22"/>
        </w:rPr>
        <w:t xml:space="preserve">Every available data dimension — funnel metrics, behavioral data, competitive scoring, and qualitative call intelligence — points in the same direction. The pilot is producing net-negative outcomes in a market environment that was favorable for all non-Treatment peers. The 24-day matched window methodology is robust. </w:t>
      </w:r>
      <w:r>
        <w:rPr>
          <w:rFonts w:ascii="Arial" w:hAnsi="Arial"/>
          <w:b/>
          <w:color w:val="0F172A"/>
          <w:sz w:val="22"/>
        </w:rPr>
        <w:t>The findings are not ambiguous.</w:t>
      </w:r>
      <w:r>
        <w:rPr>
          <w:rFonts w:ascii="Arial" w:hAnsi="Arial"/>
          <w:color w:val="1E293B"/>
          <w:sz w:val="22"/>
        </w:rPr>
        <w:t xml:space="preserve"> Expansion without addressing the identified pricing competitiveness, tool flexibility, and system reliability issues would compound the documented damage.</w:t>
      </w:r>
    </w:p>
    <w:p>
      <w:pPr>
        <w:spacing w:before="160" w:after="160"/>
        <w:pBdr>
          <w:bottom w:val="single" w:sz="6" w:space="4" w:color="CBD5E1"/>
        </w:pBdr>
      </w:pPr>
    </w:p>
    <w:p>
      <w:r>
        <w:br w:type="page"/>
      </w:r>
    </w:p>
    <w:p>
      <w:pPr>
        <w:spacing w:before="160" w:after="120"/>
        <w:ind w:left="144"/>
        <w:shd w:val="clear" w:color="auto" w:fill="D5EDD9"/>
      </w:pPr>
      <w:r>
        <w:rPr>
          <w:rFonts w:ascii="Arial" w:hAnsi="Arial"/>
          <w:b/>
          <w:color w:val="27500A"/>
          <w:sz w:val="28"/>
        </w:rPr>
        <w:t xml:space="preserve">  PART II — 20 Detailed Insights</w:t>
      </w:r>
    </w:p>
    <w:p>
      <w:pPr>
        <w:spacing w:after="200"/>
      </w:pPr>
      <w:r>
        <w:rPr>
          <w:rFonts w:ascii="Arial" w:hAnsi="Arial"/>
          <w:i/>
          <w:color w:val="64748B"/>
          <w:sz w:val="21"/>
        </w:rPr>
        <w:t>Expanded analysis with supporting data, context, and implications for each finding.</w:t>
      </w:r>
    </w:p>
    <w:p>
      <w:pPr>
        <w:spacing w:before="320" w:after="80"/>
        <w:ind w:left="0"/>
      </w:pPr>
      <w:r>
        <w:rPr>
          <w:rFonts w:ascii="Arial" w:hAnsi="Arial"/>
          <w:b/>
          <w:color w:val="0F172A"/>
          <w:sz w:val="25"/>
        </w:rPr>
        <w:t xml:space="preserve">1.  </w:t>
      </w:r>
      <w:r>
        <w:rPr>
          <w:rFonts w:ascii="Arial" w:hAnsi="Arial"/>
          <w:b/>
          <w:color w:val="854F0B"/>
          <w:sz w:val="25"/>
        </w:rPr>
        <w:t>Three-period submit rate erosion may signal pre-pilot behavioral anticipation</w:t>
      </w:r>
    </w:p>
    <w:p>
      <w:pPr>
        <w:spacing w:before="40" w:after="160"/>
        <w:ind w:left="360"/>
      </w:pPr>
      <w:r>
        <w:rPr>
          <w:rFonts w:ascii="Arial" w:hAnsi="Arial"/>
          <w:color w:val="1E293B"/>
          <w:sz w:val="22"/>
        </w:rPr>
        <w:t xml:space="preserve">The Submit/Import rate declined progressively: </w:t>
      </w:r>
      <w:r>
        <w:rPr>
          <w:rFonts w:ascii="Arial" w:hAnsi="Arial"/>
          <w:b/>
          <w:color w:val="0F172A"/>
          <w:sz w:val="22"/>
        </w:rPr>
        <w:t>48.2%</w:t>
      </w:r>
      <w:r>
        <w:rPr>
          <w:rFonts w:ascii="Arial" w:hAnsi="Arial"/>
          <w:color w:val="1E293B"/>
          <w:sz w:val="22"/>
        </w:rPr>
        <w:t xml:space="preserve"> (2025), </w:t>
      </w:r>
      <w:r>
        <w:rPr>
          <w:rFonts w:ascii="Arial" w:hAnsi="Arial"/>
          <w:b/>
          <w:color w:val="0F172A"/>
          <w:sz w:val="22"/>
        </w:rPr>
        <w:t>45.1%</w:t>
      </w:r>
      <w:r>
        <w:rPr>
          <w:rFonts w:ascii="Arial" w:hAnsi="Arial"/>
          <w:color w:val="1E293B"/>
          <w:sz w:val="22"/>
        </w:rPr>
        <w:t xml:space="preserve"> (pre-pilot Jan–Apr), </w:t>
      </w:r>
      <w:r>
        <w:rPr>
          <w:rFonts w:ascii="Arial" w:hAnsi="Arial"/>
          <w:b/>
          <w:color w:val="0F172A"/>
          <w:sz w:val="22"/>
        </w:rPr>
        <w:t>31.1%</w:t>
      </w:r>
      <w:r>
        <w:rPr>
          <w:rFonts w:ascii="Arial" w:hAnsi="Arial"/>
          <w:color w:val="1E293B"/>
          <w:sz w:val="22"/>
        </w:rPr>
        <w:t xml:space="preserve"> (pilot). The pre-pilot decline of 3.1pp from the 2025 baseline warrants investigation — it may indicate that the pilot announcement itself changed LO behavior before Apr 20, or that market conditions were already tightening. Isolating this cause would sharpen attribution of effects to dynamic pricing specifically.</w:t>
      </w:r>
    </w:p>
    <w:p>
      <w:pPr>
        <w:spacing w:before="320" w:after="80"/>
        <w:ind w:left="0"/>
      </w:pPr>
      <w:r>
        <w:rPr>
          <w:rFonts w:ascii="Arial" w:hAnsi="Arial"/>
          <w:b/>
          <w:color w:val="0F172A"/>
          <w:sz w:val="25"/>
        </w:rPr>
        <w:t xml:space="preserve">2.  </w:t>
      </w:r>
      <w:r>
        <w:rPr>
          <w:rFonts w:ascii="Arial" w:hAnsi="Arial"/>
          <w:b/>
          <w:color w:val="791F1F"/>
          <w:sz w:val="25"/>
        </w:rPr>
        <w:t>Treatment's 21-point market-adjusted import decline reveals pre-screening behavior</w:t>
      </w:r>
    </w:p>
    <w:p>
      <w:pPr>
        <w:spacing w:before="40" w:after="160"/>
        <w:ind w:left="360"/>
      </w:pPr>
      <w:r>
        <w:rPr>
          <w:rFonts w:ascii="Arial" w:hAnsi="Arial"/>
          <w:color w:val="1E293B"/>
          <w:sz w:val="22"/>
        </w:rPr>
        <w:t xml:space="preserve">Treatment imports fell </w:t>
      </w:r>
      <w:r>
        <w:rPr>
          <w:rFonts w:ascii="Arial" w:hAnsi="Arial"/>
          <w:b/>
          <w:color w:val="0F172A"/>
          <w:sz w:val="22"/>
        </w:rPr>
        <w:t>−10%</w:t>
      </w:r>
      <w:r>
        <w:rPr>
          <w:rFonts w:ascii="Arial" w:hAnsi="Arial"/>
          <w:color w:val="1E293B"/>
          <w:sz w:val="22"/>
        </w:rPr>
        <w:t xml:space="preserve"> while Control grew </w:t>
      </w:r>
      <w:r>
        <w:rPr>
          <w:rFonts w:ascii="Arial" w:hAnsi="Arial"/>
          <w:b/>
          <w:color w:val="0F172A"/>
          <w:sz w:val="22"/>
        </w:rPr>
        <w:t>+3%</w:t>
      </w:r>
      <w:r>
        <w:rPr>
          <w:rFonts w:ascii="Arial" w:hAnsi="Arial"/>
          <w:color w:val="1E293B"/>
          <w:sz w:val="22"/>
        </w:rPr>
        <w:t xml:space="preserve"> and Unassigned grew </w:t>
      </w:r>
      <w:r>
        <w:rPr>
          <w:rFonts w:ascii="Arial" w:hAnsi="Arial"/>
          <w:b/>
          <w:color w:val="0F172A"/>
          <w:sz w:val="22"/>
        </w:rPr>
        <w:t>+11%</w:t>
      </w:r>
      <w:r>
        <w:rPr>
          <w:rFonts w:ascii="Arial" w:hAnsi="Arial"/>
          <w:color w:val="1E293B"/>
          <w:sz w:val="22"/>
        </w:rPr>
        <w:t xml:space="preserve">. The market-adjusted gap at the first funnel stage is </w:t>
      </w:r>
      <w:r>
        <w:rPr>
          <w:rFonts w:ascii="Arial" w:hAnsi="Arial"/>
          <w:b/>
          <w:color w:val="0F172A"/>
          <w:sz w:val="22"/>
        </w:rPr>
        <w:t>−21 points</w:t>
      </w:r>
      <w:r>
        <w:rPr>
          <w:rFonts w:ascii="Arial" w:hAnsi="Arial"/>
          <w:color w:val="1E293B"/>
          <w:sz w:val="22"/>
        </w:rPr>
        <w:t>. LOs are self-screening loans before importing — only bringing loans they believe will generate acceptable dynamic prices. This 'pre-filtering' means the true volume loss to the business is larger than submission data suggests, since filtered loans never appear in any funnel metric at all.</w:t>
      </w:r>
    </w:p>
    <w:p>
      <w:pPr>
        <w:spacing w:before="320" w:after="80"/>
        <w:ind w:left="0"/>
      </w:pPr>
      <w:r>
        <w:rPr>
          <w:rFonts w:ascii="Arial" w:hAnsi="Arial"/>
          <w:b/>
          <w:color w:val="0F172A"/>
          <w:sz w:val="25"/>
        </w:rPr>
        <w:t xml:space="preserve">3.  </w:t>
      </w:r>
      <w:r>
        <w:rPr>
          <w:rFonts w:ascii="Arial" w:hAnsi="Arial"/>
          <w:b/>
          <w:color w:val="791F1F"/>
          <w:sz w:val="25"/>
        </w:rPr>
        <w:t>The 102-loan submission gap between Treatment and Control represents direct revenue impact</w:t>
      </w:r>
    </w:p>
    <w:p>
      <w:pPr>
        <w:spacing w:before="40" w:after="160"/>
        <w:ind w:left="360"/>
      </w:pPr>
      <w:r>
        <w:rPr>
          <w:rFonts w:ascii="Arial" w:hAnsi="Arial"/>
          <w:color w:val="1E293B"/>
          <w:sz w:val="22"/>
        </w:rPr>
        <w:t xml:space="preserve">Control submissions grew by </w:t>
      </w:r>
      <w:r>
        <w:rPr>
          <w:rFonts w:ascii="Arial" w:hAnsi="Arial"/>
          <w:b/>
          <w:color w:val="0F172A"/>
          <w:sz w:val="22"/>
        </w:rPr>
        <w:t>+14 loans</w:t>
      </w:r>
      <w:r>
        <w:rPr>
          <w:rFonts w:ascii="Arial" w:hAnsi="Arial"/>
          <w:color w:val="1E293B"/>
          <w:sz w:val="22"/>
        </w:rPr>
        <w:t xml:space="preserve"> (185→199) while Treatment declined by </w:t>
      </w:r>
      <w:r>
        <w:rPr>
          <w:rFonts w:ascii="Arial" w:hAnsi="Arial"/>
          <w:b/>
          <w:color w:val="0F172A"/>
          <w:sz w:val="22"/>
        </w:rPr>
        <w:t>−24 loans</w:t>
      </w:r>
      <w:r>
        <w:rPr>
          <w:rFonts w:ascii="Arial" w:hAnsi="Arial"/>
          <w:color w:val="1E293B"/>
          <w:sz w:val="22"/>
        </w:rPr>
        <w:t xml:space="preserve"> (96→72). Against the Unassigned market baseline of </w:t>
      </w:r>
      <w:r>
        <w:rPr>
          <w:rFonts w:ascii="Arial" w:hAnsi="Arial"/>
          <w:b/>
          <w:color w:val="0F172A"/>
          <w:sz w:val="22"/>
        </w:rPr>
        <w:t>+11%</w:t>
      </w:r>
      <w:r>
        <w:rPr>
          <w:rFonts w:ascii="Arial" w:hAnsi="Arial"/>
          <w:color w:val="1E293B"/>
          <w:sz w:val="22"/>
        </w:rPr>
        <w:t xml:space="preserve">, the market-expected Treatment submission volume would have been approximately 107 loans. Actual was 72 — a market-adjusted deficit of roughly </w:t>
      </w:r>
      <w:r>
        <w:rPr>
          <w:rFonts w:ascii="Arial" w:hAnsi="Arial"/>
          <w:b/>
          <w:color w:val="0F172A"/>
          <w:sz w:val="22"/>
        </w:rPr>
        <w:t>35 submissions</w:t>
      </w:r>
      <w:r>
        <w:rPr>
          <w:rFonts w:ascii="Arial" w:hAnsi="Arial"/>
          <w:color w:val="1E293B"/>
          <w:sz w:val="22"/>
        </w:rPr>
        <w:t xml:space="preserve"> in 24 days. At typical revenue-per-loan, this gap compounds materially over a full quarter.</w:t>
      </w:r>
    </w:p>
    <w:p>
      <w:pPr>
        <w:spacing w:before="320" w:after="80"/>
        <w:ind w:left="0"/>
      </w:pPr>
      <w:r>
        <w:rPr>
          <w:rFonts w:ascii="Arial" w:hAnsi="Arial"/>
          <w:b/>
          <w:color w:val="0F172A"/>
          <w:sz w:val="25"/>
        </w:rPr>
        <w:t xml:space="preserve">4.  </w:t>
      </w:r>
      <w:r>
        <w:rPr>
          <w:rFonts w:ascii="Arial" w:hAnsi="Arial"/>
          <w:b/>
          <w:color w:val="854F0B"/>
          <w:sz w:val="25"/>
        </w:rPr>
        <w:t>Lock underperformance will compound into a future pipeline deficit</w:t>
      </w:r>
    </w:p>
    <w:p>
      <w:pPr>
        <w:spacing w:before="40" w:after="160"/>
        <w:ind w:left="360"/>
      </w:pPr>
      <w:r>
        <w:rPr>
          <w:rFonts w:ascii="Arial" w:hAnsi="Arial"/>
          <w:color w:val="1E293B"/>
          <w:sz w:val="22"/>
        </w:rPr>
        <w:t xml:space="preserve">Treatment locks grew </w:t>
      </w:r>
      <w:r>
        <w:rPr>
          <w:rFonts w:ascii="Arial" w:hAnsi="Arial"/>
          <w:b/>
          <w:color w:val="0F172A"/>
          <w:sz w:val="22"/>
        </w:rPr>
        <w:t>+12%</w:t>
      </w:r>
      <w:r>
        <w:rPr>
          <w:rFonts w:ascii="Arial" w:hAnsi="Arial"/>
          <w:color w:val="1E293B"/>
          <w:sz w:val="22"/>
        </w:rPr>
        <w:t xml:space="preserve"> vs. Control </w:t>
      </w:r>
      <w:r>
        <w:rPr>
          <w:rFonts w:ascii="Arial" w:hAnsi="Arial"/>
          <w:b/>
          <w:color w:val="0F172A"/>
          <w:sz w:val="22"/>
        </w:rPr>
        <w:t>+22%</w:t>
      </w:r>
      <w:r>
        <w:rPr>
          <w:rFonts w:ascii="Arial" w:hAnsi="Arial"/>
          <w:color w:val="1E293B"/>
          <w:sz w:val="22"/>
        </w:rPr>
        <w:t xml:space="preserve"> and Unassigned </w:t>
      </w:r>
      <w:r>
        <w:rPr>
          <w:rFonts w:ascii="Arial" w:hAnsi="Arial"/>
          <w:b/>
          <w:color w:val="0F172A"/>
          <w:sz w:val="22"/>
        </w:rPr>
        <w:t>+21%</w:t>
      </w:r>
      <w:r>
        <w:rPr>
          <w:rFonts w:ascii="Arial" w:hAnsi="Arial"/>
          <w:color w:val="1E293B"/>
          <w:sz w:val="22"/>
        </w:rPr>
        <w:t xml:space="preserve"> — a </w:t>
      </w:r>
      <w:r>
        <w:rPr>
          <w:rFonts w:ascii="Arial" w:hAnsi="Arial"/>
          <w:b/>
          <w:color w:val="0F172A"/>
          <w:sz w:val="22"/>
        </w:rPr>
        <w:t>10-point underperformance</w:t>
      </w:r>
      <w:r>
        <w:rPr>
          <w:rFonts w:ascii="Arial" w:hAnsi="Arial"/>
          <w:color w:val="1E293B"/>
          <w:sz w:val="22"/>
        </w:rPr>
        <w:t xml:space="preserve"> against market peers. This matters beyond the current window: the loans not submitted today will not lock next month and will not wire the month after. The pipeline compression at submissions and imports will appear as lock and wire deficits </w:t>
      </w:r>
      <w:r>
        <w:rPr>
          <w:rFonts w:ascii="Arial" w:hAnsi="Arial"/>
          <w:b/>
          <w:color w:val="0F172A"/>
          <w:sz w:val="22"/>
        </w:rPr>
        <w:t>60–90 days from now</w:t>
      </w:r>
      <w:r>
        <w:rPr>
          <w:rFonts w:ascii="Arial" w:hAnsi="Arial"/>
          <w:color w:val="1E293B"/>
          <w:sz w:val="22"/>
        </w:rPr>
        <w:t>. Current analysis likely understates the full revenue impact.</w:t>
      </w:r>
    </w:p>
    <w:p>
      <w:pPr>
        <w:spacing w:before="320" w:after="80"/>
        <w:ind w:left="0"/>
      </w:pPr>
      <w:r>
        <w:rPr>
          <w:rFonts w:ascii="Arial" w:hAnsi="Arial"/>
          <w:b/>
          <w:color w:val="0F172A"/>
          <w:sz w:val="25"/>
        </w:rPr>
        <w:t xml:space="preserve">5.  </w:t>
      </w:r>
      <w:r>
        <w:rPr>
          <w:rFonts w:ascii="Arial" w:hAnsi="Arial"/>
          <w:b/>
          <w:color w:val="854F0B"/>
          <w:sz w:val="25"/>
        </w:rPr>
        <w:t>Wire declines confirm compression is working through the full pipeline</w:t>
      </w:r>
    </w:p>
    <w:p>
      <w:pPr>
        <w:spacing w:before="40" w:after="160"/>
        <w:ind w:left="360"/>
      </w:pPr>
      <w:r>
        <w:rPr>
          <w:rFonts w:ascii="Arial" w:hAnsi="Arial"/>
          <w:color w:val="1E293B"/>
          <w:sz w:val="22"/>
        </w:rPr>
        <w:t xml:space="preserve">Treatment wires fell </w:t>
      </w:r>
      <w:r>
        <w:rPr>
          <w:rFonts w:ascii="Arial" w:hAnsi="Arial"/>
          <w:b/>
          <w:color w:val="0F172A"/>
          <w:sz w:val="22"/>
        </w:rPr>
        <w:t>−10%</w:t>
      </w:r>
      <w:r>
        <w:rPr>
          <w:rFonts w:ascii="Arial" w:hAnsi="Arial"/>
          <w:color w:val="1E293B"/>
          <w:sz w:val="22"/>
        </w:rPr>
        <w:t xml:space="preserve"> (77→69) while Control held near-flat (</w:t>
      </w:r>
      <w:r>
        <w:rPr>
          <w:rFonts w:ascii="Arial" w:hAnsi="Arial"/>
          <w:b/>
          <w:color w:val="0F172A"/>
          <w:sz w:val="22"/>
        </w:rPr>
        <w:t>+2%</w:t>
      </w:r>
      <w:r>
        <w:rPr>
          <w:rFonts w:ascii="Arial" w:hAnsi="Arial"/>
          <w:color w:val="1E293B"/>
          <w:sz w:val="22"/>
        </w:rPr>
        <w:t xml:space="preserve">) and Unassigned grew </w:t>
      </w:r>
      <w:r>
        <w:rPr>
          <w:rFonts w:ascii="Arial" w:hAnsi="Arial"/>
          <w:b/>
          <w:color w:val="0F172A"/>
          <w:sz w:val="22"/>
        </w:rPr>
        <w:t>+11%</w:t>
      </w:r>
      <w:r>
        <w:rPr>
          <w:rFonts w:ascii="Arial" w:hAnsi="Arial"/>
          <w:color w:val="1E293B"/>
          <w:sz w:val="22"/>
        </w:rPr>
        <w:t>. Wires reflect loans submitted and locked in prior periods — meaning the −10% decline predates the Apr 20 pilot start and suggests pipeline weakness was accumulating beforehand. This reinforces that the pre-pilot decline in submit rates was real, consequential, and flowing through to closings.</w:t>
      </w:r>
    </w:p>
    <w:p>
      <w:pPr>
        <w:spacing w:before="320" w:after="80"/>
        <w:ind w:left="0"/>
      </w:pPr>
      <w:r>
        <w:rPr>
          <w:rFonts w:ascii="Arial" w:hAnsi="Arial"/>
          <w:b/>
          <w:color w:val="0F172A"/>
          <w:sz w:val="25"/>
        </w:rPr>
        <w:t xml:space="preserve">6.  </w:t>
      </w:r>
      <w:r>
        <w:rPr>
          <w:rFonts w:ascii="Arial" w:hAnsi="Arial"/>
          <w:b/>
          <w:color w:val="185FA5"/>
          <w:sz w:val="25"/>
        </w:rPr>
        <w:t>EQ visit divergence is the clearest behavioral indicator of dynamic pricing adoption</w:t>
      </w:r>
    </w:p>
    <w:p>
      <w:pPr>
        <w:spacing w:before="40" w:after="160"/>
        <w:ind w:left="360"/>
      </w:pPr>
      <w:r>
        <w:rPr>
          <w:rFonts w:ascii="Arial" w:hAnsi="Arial"/>
          <w:color w:val="1E293B"/>
          <w:sz w:val="22"/>
        </w:rPr>
        <w:t xml:space="preserve">The </w:t>
      </w:r>
      <w:r>
        <w:rPr>
          <w:rFonts w:ascii="Arial" w:hAnsi="Arial"/>
          <w:b/>
          <w:color w:val="0F172A"/>
          <w:sz w:val="22"/>
        </w:rPr>
        <w:t>42-point divergence</w:t>
      </w:r>
      <w:r>
        <w:rPr>
          <w:rFonts w:ascii="Arial" w:hAnsi="Arial"/>
          <w:color w:val="1E293B"/>
          <w:sz w:val="22"/>
        </w:rPr>
        <w:t xml:space="preserve"> (Control +32%, Treatment −10%) in rate-checking behavior is the most extreme gap in the study. It confirms that Treatment LOs have transferred rate discovery to the dynamic engine. The critical unresolved question is whether the engine's output is being validated before submission — and the submission data strongly suggests it is not. Human judgment has been removed from a quality-control step that was producing better outcomes.</w:t>
      </w:r>
    </w:p>
    <w:p>
      <w:pPr>
        <w:spacing w:before="320" w:after="80"/>
        <w:ind w:left="0"/>
      </w:pPr>
      <w:r>
        <w:rPr>
          <w:rFonts w:ascii="Arial" w:hAnsi="Arial"/>
          <w:b/>
          <w:color w:val="0F172A"/>
          <w:sz w:val="25"/>
        </w:rPr>
        <w:t xml:space="preserve">7.  </w:t>
      </w:r>
      <w:r>
        <w:rPr>
          <w:rFonts w:ascii="Arial" w:hAnsi="Arial"/>
          <w:b/>
          <w:color w:val="185FA5"/>
          <w:sz w:val="25"/>
        </w:rPr>
        <w:t>Control's EQ surge shows increased rate-checking is a competitive advantage, not inefficiency</w:t>
      </w:r>
    </w:p>
    <w:p>
      <w:pPr>
        <w:spacing w:before="40" w:after="160"/>
        <w:ind w:left="360"/>
      </w:pPr>
      <w:r>
        <w:rPr>
          <w:rFonts w:ascii="Arial" w:hAnsi="Arial"/>
          <w:color w:val="1E293B"/>
          <w:sz w:val="22"/>
        </w:rPr>
        <w:t xml:space="preserve">Control LOs checking rates </w:t>
      </w:r>
      <w:r>
        <w:rPr>
          <w:rFonts w:ascii="Arial" w:hAnsi="Arial"/>
          <w:b/>
          <w:color w:val="0F172A"/>
          <w:sz w:val="22"/>
        </w:rPr>
        <w:t>32% more often</w:t>
      </w:r>
      <w:r>
        <w:rPr>
          <w:rFonts w:ascii="Arial" w:hAnsi="Arial"/>
          <w:color w:val="1E293B"/>
          <w:sz w:val="22"/>
        </w:rPr>
        <w:t xml:space="preserve"> while simultaneously growing submissions </w:t>
      </w:r>
      <w:r>
        <w:rPr>
          <w:rFonts w:ascii="Arial" w:hAnsi="Arial"/>
          <w:b/>
          <w:color w:val="0F172A"/>
          <w:sz w:val="22"/>
        </w:rPr>
        <w:t>+8%</w:t>
      </w:r>
      <w:r>
        <w:rPr>
          <w:rFonts w:ascii="Arial" w:hAnsi="Arial"/>
          <w:color w:val="1E293B"/>
          <w:sz w:val="22"/>
        </w:rPr>
        <w:t xml:space="preserve"> and locks </w:t>
      </w:r>
      <w:r>
        <w:rPr>
          <w:rFonts w:ascii="Arial" w:hAnsi="Arial"/>
          <w:b/>
          <w:color w:val="0F172A"/>
          <w:sz w:val="22"/>
        </w:rPr>
        <w:t>+22%</w:t>
      </w:r>
      <w:r>
        <w:rPr>
          <w:rFonts w:ascii="Arial" w:hAnsi="Arial"/>
          <w:color w:val="1E293B"/>
          <w:sz w:val="22"/>
        </w:rPr>
        <w:t xml:space="preserve"> directly contradicts any narrative that manual rate exploration is wasteful. In a competitive market, the LOs doing more rate-checking are outperforming. Treatment's removal of this behavior has not freed up productive time — it has removed a quality-control layer that was producing better loan conversion outcomes.</w:t>
      </w:r>
    </w:p>
    <w:p>
      <w:pPr>
        <w:spacing w:before="320" w:after="80"/>
        <w:ind w:left="0"/>
      </w:pPr>
      <w:r>
        <w:rPr>
          <w:rFonts w:ascii="Arial" w:hAnsi="Arial"/>
          <w:b/>
          <w:color w:val="0F172A"/>
          <w:sz w:val="25"/>
        </w:rPr>
        <w:t xml:space="preserve">8.  </w:t>
      </w:r>
      <w:r>
        <w:rPr>
          <w:rFonts w:ascii="Arial" w:hAnsi="Arial"/>
          <w:b/>
          <w:color w:val="854F0B"/>
          <w:sz w:val="25"/>
        </w:rPr>
        <w:t>PRO Score gap doubled during the pilot — from 1.9 to 3.8 points</w:t>
      </w:r>
    </w:p>
    <w:p>
      <w:pPr>
        <w:spacing w:before="40" w:after="160"/>
        <w:ind w:left="360"/>
      </w:pPr>
      <w:r>
        <w:rPr>
          <w:rFonts w:ascii="Arial" w:hAnsi="Arial"/>
          <w:color w:val="1E293B"/>
          <w:sz w:val="22"/>
        </w:rPr>
        <w:t xml:space="preserve">Control started at </w:t>
      </w:r>
      <w:r>
        <w:rPr>
          <w:rFonts w:ascii="Arial" w:hAnsi="Arial"/>
          <w:b/>
          <w:color w:val="0F172A"/>
          <w:sz w:val="22"/>
        </w:rPr>
        <w:t>53.3</w:t>
      </w:r>
      <w:r>
        <w:rPr>
          <w:rFonts w:ascii="Arial" w:hAnsi="Arial"/>
          <w:color w:val="1E293B"/>
          <w:sz w:val="22"/>
        </w:rPr>
        <w:t xml:space="preserve"> and Treatment at </w:t>
      </w:r>
      <w:r>
        <w:rPr>
          <w:rFonts w:ascii="Arial" w:hAnsi="Arial"/>
          <w:b/>
          <w:color w:val="0F172A"/>
          <w:sz w:val="22"/>
        </w:rPr>
        <w:t>51.4</w:t>
      </w:r>
      <w:r>
        <w:rPr>
          <w:rFonts w:ascii="Arial" w:hAnsi="Arial"/>
          <w:color w:val="1E293B"/>
          <w:sz w:val="22"/>
        </w:rPr>
        <w:t xml:space="preserve"> (1.9-point gap at baseline). By end of pilot: Control </w:t>
      </w:r>
      <w:r>
        <w:rPr>
          <w:rFonts w:ascii="Arial" w:hAnsi="Arial"/>
          <w:b/>
          <w:color w:val="0F172A"/>
          <w:sz w:val="22"/>
        </w:rPr>
        <w:t>40.5</w:t>
      </w:r>
      <w:r>
        <w:rPr>
          <w:rFonts w:ascii="Arial" w:hAnsi="Arial"/>
          <w:color w:val="1E293B"/>
          <w:sz w:val="22"/>
        </w:rPr>
        <w:t xml:space="preserve">, Treatment </w:t>
      </w:r>
      <w:r>
        <w:rPr>
          <w:rFonts w:ascii="Arial" w:hAnsi="Arial"/>
          <w:b/>
          <w:color w:val="0F172A"/>
          <w:sz w:val="22"/>
        </w:rPr>
        <w:t>36.7</w:t>
      </w:r>
      <w:r>
        <w:rPr>
          <w:rFonts w:ascii="Arial" w:hAnsi="Arial"/>
          <w:color w:val="1E293B"/>
          <w:sz w:val="22"/>
        </w:rPr>
        <w:t xml:space="preserve"> (3.8-point gap). The gap doubled in 24 days. Both groups declined under general market pressure, but Treatment's </w:t>
      </w:r>
      <w:r>
        <w:rPr>
          <w:rFonts w:ascii="Arial" w:hAnsi="Arial"/>
          <w:b/>
          <w:color w:val="0F172A"/>
          <w:sz w:val="22"/>
        </w:rPr>
        <w:t>additional −5pp decline</w:t>
      </w:r>
      <w:r>
        <w:rPr>
          <w:rFonts w:ascii="Arial" w:hAnsi="Arial"/>
          <w:color w:val="1E293B"/>
          <w:sz w:val="22"/>
        </w:rPr>
        <w:t xml:space="preserve"> reflects the pricing engine generating less competitive rates. This is a consistent, directional signal across a metric directly tied to loan competitive positioning.</w:t>
      </w:r>
    </w:p>
    <w:p>
      <w:pPr>
        <w:spacing w:before="320" w:after="80"/>
        <w:ind w:left="0"/>
      </w:pPr>
      <w:r>
        <w:rPr>
          <w:rFonts w:ascii="Arial" w:hAnsi="Arial"/>
          <w:b/>
          <w:color w:val="0F172A"/>
          <w:sz w:val="25"/>
        </w:rPr>
        <w:t xml:space="preserve">9.  </w:t>
      </w:r>
      <w:r>
        <w:rPr>
          <w:rFonts w:ascii="Arial" w:hAnsi="Arial"/>
          <w:b/>
          <w:color w:val="27500A"/>
          <w:sz w:val="25"/>
        </w:rPr>
        <w:t>Unassigned PRO Score improvement (+39%) eliminates market conditions as the cause of decline</w:t>
      </w:r>
    </w:p>
    <w:p>
      <w:pPr>
        <w:spacing w:before="40" w:after="160"/>
        <w:ind w:left="360"/>
      </w:pPr>
      <w:r>
        <w:rPr>
          <w:rFonts w:ascii="Arial" w:hAnsi="Arial"/>
          <w:color w:val="1E293B"/>
          <w:sz w:val="22"/>
        </w:rPr>
        <w:t xml:space="preserve">Lower-baseline Unassigned LOs improved from </w:t>
      </w:r>
      <w:r>
        <w:rPr>
          <w:rFonts w:ascii="Arial" w:hAnsi="Arial"/>
          <w:b/>
          <w:color w:val="0F172A"/>
          <w:sz w:val="22"/>
        </w:rPr>
        <w:t>20.0 to 27.8 (+39%)</w:t>
      </w:r>
      <w:r>
        <w:rPr>
          <w:rFonts w:ascii="Arial" w:hAnsi="Arial"/>
          <w:color w:val="1E293B"/>
          <w:sz w:val="22"/>
        </w:rPr>
        <w:t xml:space="preserve"> in the same window when both pilot groups declined 24–29%. If market conditions were causing PRO Score declines, Unassigned LOs would also have declined. They improved instead. </w:t>
      </w:r>
      <w:r>
        <w:rPr>
          <w:rFonts w:ascii="Arial" w:hAnsi="Arial"/>
          <w:b/>
          <w:color w:val="0F172A"/>
          <w:sz w:val="22"/>
        </w:rPr>
        <w:t>The pilot — not the market — is the cause of PRO Score deterioration</w:t>
      </w:r>
      <w:r>
        <w:rPr>
          <w:rFonts w:ascii="Arial" w:hAnsi="Arial"/>
          <w:color w:val="1E293B"/>
          <w:sz w:val="22"/>
        </w:rPr>
        <w:t xml:space="preserve"> in both Treatment and Control groups, with Treatment bearing the steeper cost.</w:t>
      </w:r>
    </w:p>
    <w:p>
      <w:pPr>
        <w:spacing w:before="320" w:after="80"/>
        <w:ind w:left="0"/>
      </w:pPr>
      <w:r>
        <w:rPr>
          <w:rFonts w:ascii="Arial" w:hAnsi="Arial"/>
          <w:b/>
          <w:color w:val="0F172A"/>
          <w:sz w:val="25"/>
        </w:rPr>
        <w:t xml:space="preserve">10.  </w:t>
      </w:r>
      <w:r>
        <w:rPr>
          <w:rFonts w:ascii="Arial" w:hAnsi="Arial"/>
          <w:b/>
          <w:color w:val="791F1F"/>
          <w:sz w:val="25"/>
        </w:rPr>
        <w:t>Funnel compression at submissions will cascade — full revenue impact is 60–90 days away</w:t>
      </w:r>
    </w:p>
    <w:p>
      <w:pPr>
        <w:spacing w:before="40" w:after="160"/>
        <w:ind w:left="360"/>
      </w:pPr>
      <w:r>
        <w:rPr>
          <w:rFonts w:ascii="Arial" w:hAnsi="Arial"/>
          <w:color w:val="1E293B"/>
          <w:sz w:val="22"/>
        </w:rPr>
        <w:t xml:space="preserve">Standard mortgage pipeline timelines: a submission converts to a lock in ~30 days, and to a wire in ~60–90 days. The </w:t>
      </w:r>
      <w:r>
        <w:rPr>
          <w:rFonts w:ascii="Arial" w:hAnsi="Arial"/>
          <w:b/>
          <w:color w:val="0F172A"/>
          <w:sz w:val="22"/>
        </w:rPr>
        <w:t>−25% submission decline</w:t>
      </w:r>
      <w:r>
        <w:rPr>
          <w:rFonts w:ascii="Arial" w:hAnsi="Arial"/>
          <w:color w:val="1E293B"/>
          <w:sz w:val="22"/>
        </w:rPr>
        <w:t xml:space="preserve"> observed in this 24-day window will fully surface as lock underperformance in May and wire underperformance in June–July 2026. The current analysis captures only the leading edge of the impact. If the pilot continues unchanged, the financial consequences will be substantially larger than what is currently measurable.</w:t>
      </w:r>
    </w:p>
    <w:p>
      <w:pPr>
        <w:spacing w:before="320" w:after="80"/>
        <w:ind w:left="0"/>
      </w:pPr>
      <w:r>
        <w:rPr>
          <w:rFonts w:ascii="Arial" w:hAnsi="Arial"/>
          <w:b/>
          <w:color w:val="0F172A"/>
          <w:sz w:val="25"/>
        </w:rPr>
        <w:t xml:space="preserve">11.  </w:t>
      </w:r>
      <w:r>
        <w:rPr>
          <w:rFonts w:ascii="Arial" w:hAnsi="Arial"/>
          <w:b/>
          <w:color w:val="791F1F"/>
          <w:sz w:val="25"/>
        </w:rPr>
        <w:t>Pricing competitiveness complaints dominate — 83% of complaint calls are active pricing calls</w:t>
      </w:r>
    </w:p>
    <w:p>
      <w:pPr>
        <w:spacing w:before="40" w:after="160"/>
        <w:ind w:left="360"/>
      </w:pPr>
      <w:r>
        <w:rPr>
          <w:rFonts w:ascii="Arial" w:hAnsi="Arial"/>
          <w:color w:val="1E293B"/>
          <w:sz w:val="22"/>
        </w:rPr>
      </w:r>
      <w:r>
        <w:rPr>
          <w:rFonts w:ascii="Arial" w:hAnsi="Arial"/>
          <w:b/>
          <w:color w:val="0F172A"/>
          <w:sz w:val="22"/>
        </w:rPr>
        <w:t>83% of all complaint calls</w:t>
      </w:r>
      <w:r>
        <w:rPr>
          <w:rFonts w:ascii="Arial" w:hAnsi="Arial"/>
          <w:color w:val="1E293B"/>
          <w:sz w:val="22"/>
        </w:rPr>
        <w:t xml:space="preserve"> were also active pricing calls. This near-total overlap between complaints and pricing activity confirms that pricing is where value is being lost and trust is eroding. The </w:t>
      </w:r>
      <w:r>
        <w:rPr>
          <w:rFonts w:ascii="Arial" w:hAnsi="Arial"/>
          <w:b/>
          <w:color w:val="0F172A"/>
          <w:sz w:val="22"/>
        </w:rPr>
        <w:t>15% overall call contentiousness rate (1 in 7 calls)</w:t>
      </w:r>
      <w:r>
        <w:rPr>
          <w:rFonts w:ascii="Arial" w:hAnsi="Arial"/>
          <w:color w:val="1E293B"/>
          <w:sz w:val="22"/>
        </w:rPr>
        <w:t xml:space="preserve"> should be formally tracked as a customer experience KPI. An increase in this rate during expanded dynamic pricing rollout would serve as an early-warning indicator of broader LO dissatisfaction.</w:t>
      </w:r>
    </w:p>
    <w:p>
      <w:pPr>
        <w:spacing w:before="320" w:after="80"/>
        <w:ind w:left="0"/>
      </w:pPr>
      <w:r>
        <w:rPr>
          <w:rFonts w:ascii="Arial" w:hAnsi="Arial"/>
          <w:b/>
          <w:color w:val="0F172A"/>
          <w:sz w:val="25"/>
        </w:rPr>
        <w:t xml:space="preserve">12.  </w:t>
      </w:r>
      <w:r>
        <w:rPr>
          <w:rFonts w:ascii="Arial" w:hAnsi="Arial"/>
          <w:b/>
          <w:color w:val="791F1F"/>
          <w:sz w:val="25"/>
        </w:rPr>
        <w:t>25–50+ bps pricing gaps vs. WF, Chase, PennyMac represent a structural competitive disadvantage</w:t>
      </w:r>
    </w:p>
    <w:p>
      <w:pPr>
        <w:spacing w:before="40" w:after="160"/>
        <w:ind w:left="360"/>
      </w:pPr>
      <w:r>
        <w:rPr>
          <w:rFonts w:ascii="Arial" w:hAnsi="Arial"/>
          <w:color w:val="1E293B"/>
          <w:sz w:val="22"/>
        </w:rPr>
        <w:t xml:space="preserve">LOs are specifically naming Wells Fargo, Chase, and PennyMac as offering rates </w:t>
      </w:r>
      <w:r>
        <w:rPr>
          <w:rFonts w:ascii="Arial" w:hAnsi="Arial"/>
          <w:b/>
          <w:color w:val="0F172A"/>
          <w:sz w:val="22"/>
        </w:rPr>
        <w:t>25–50+ bps better</w:t>
      </w:r>
      <w:r>
        <w:rPr>
          <w:rFonts w:ascii="Arial" w:hAnsi="Arial"/>
          <w:color w:val="1E293B"/>
          <w:sz w:val="22"/>
        </w:rPr>
        <w:t xml:space="preserve">. In mortgage lending, a 25bp rate disadvantage is the threshold for losing rate-sensitive borrowers. A 50bp disadvantage makes a loan essentially unsellable on rate. These are not edge-case scenarios — they are reported consistently enough to constitute a </w:t>
      </w:r>
      <w:r>
        <w:rPr>
          <w:rFonts w:ascii="Arial" w:hAnsi="Arial"/>
          <w:b/>
          <w:color w:val="0F172A"/>
          <w:sz w:val="22"/>
        </w:rPr>
        <w:t>structural competitive pricing gap</w:t>
      </w:r>
      <w:r>
        <w:rPr>
          <w:rFonts w:ascii="Arial" w:hAnsi="Arial"/>
          <w:color w:val="1E293B"/>
          <w:sz w:val="22"/>
        </w:rPr>
        <w:t>, not individual exceptions that can be explained away.</w:t>
      </w:r>
    </w:p>
    <w:p>
      <w:pPr>
        <w:spacing w:before="320" w:after="80"/>
        <w:ind w:left="0"/>
      </w:pPr>
      <w:r>
        <w:rPr>
          <w:rFonts w:ascii="Arial" w:hAnsi="Arial"/>
          <w:b/>
          <w:color w:val="0F172A"/>
          <w:sz w:val="25"/>
        </w:rPr>
        <w:t xml:space="preserve">13.  </w:t>
      </w:r>
      <w:r>
        <w:rPr>
          <w:rFonts w:ascii="Arial" w:hAnsi="Arial"/>
          <w:b/>
          <w:color w:val="854F0B"/>
          <w:sz w:val="25"/>
        </w:rPr>
        <w:t>The 1% buydown option is a major structural gap — 35% of LOs are actively asking for more</w:t>
      </w:r>
    </w:p>
    <w:p>
      <w:pPr>
        <w:spacing w:before="40" w:after="160"/>
        <w:ind w:left="360"/>
      </w:pPr>
      <w:r>
        <w:rPr>
          <w:rFonts w:ascii="Arial" w:hAnsi="Arial"/>
          <w:color w:val="1E293B"/>
          <w:sz w:val="22"/>
        </w:rPr>
        <w:t xml:space="preserve">With </w:t>
      </w:r>
      <w:r>
        <w:rPr>
          <w:rFonts w:ascii="Arial" w:hAnsi="Arial"/>
          <w:b/>
          <w:color w:val="0F172A"/>
          <w:sz w:val="22"/>
        </w:rPr>
        <w:t>35% of all calls (232)</w:t>
      </w:r>
      <w:r>
        <w:rPr>
          <w:rFonts w:ascii="Arial" w:hAnsi="Arial"/>
          <w:color w:val="1E293B"/>
          <w:sz w:val="22"/>
        </w:rPr>
        <w:t xml:space="preserve"> mentioning Temporary Rate Buydowns as a key differentiator, and only </w:t>
      </w:r>
      <w:r>
        <w:rPr>
          <w:rFonts w:ascii="Arial" w:hAnsi="Arial"/>
          <w:b/>
          <w:color w:val="0F172A"/>
          <w:sz w:val="22"/>
        </w:rPr>
        <w:t>1% buydown structure currently available</w:t>
      </w:r>
      <w:r>
        <w:rPr>
          <w:rFonts w:ascii="Arial" w:hAnsi="Arial"/>
          <w:color w:val="1E293B"/>
          <w:sz w:val="22"/>
        </w:rPr>
        <w:t>, the demand signal is unambiguous. Expanding to 2/1, 3/2/1, and permanent structures would directly address the #1 discussed differentiator. This is an actionable product enhancement that could partially offset dynamic pricing's competitive disadvantage independent of rate-level decisions.</w:t>
      </w:r>
    </w:p>
    <w:p>
      <w:pPr>
        <w:spacing w:before="320" w:after="80"/>
        <w:ind w:left="0"/>
      </w:pPr>
      <w:r>
        <w:rPr>
          <w:rFonts w:ascii="Arial" w:hAnsi="Arial"/>
          <w:b/>
          <w:color w:val="0F172A"/>
          <w:sz w:val="25"/>
        </w:rPr>
        <w:t xml:space="preserve">14.  </w:t>
      </w:r>
      <w:r>
        <w:rPr>
          <w:rFonts w:ascii="Arial" w:hAnsi="Arial"/>
          <w:b/>
          <w:color w:val="854F0B"/>
          <w:sz w:val="25"/>
        </w:rPr>
        <w:t>AE team bandwidth is being consumed by pricing friction — ~1 in 3 calls requires intervention</w:t>
      </w:r>
    </w:p>
    <w:p>
      <w:pPr>
        <w:spacing w:before="40" w:after="160"/>
        <w:ind w:left="360"/>
      </w:pPr>
      <w:r>
        <w:rPr>
          <w:rFonts w:ascii="Arial" w:hAnsi="Arial"/>
          <w:color w:val="1E293B"/>
          <w:sz w:val="22"/>
        </w:rPr>
      </w:r>
      <w:r>
        <w:rPr>
          <w:rFonts w:ascii="Arial" w:hAnsi="Arial"/>
          <w:b/>
          <w:color w:val="0F172A"/>
          <w:sz w:val="22"/>
        </w:rPr>
        <w:t>51% of all calls</w:t>
      </w:r>
      <w:r>
        <w:rPr>
          <w:rFonts w:ascii="Arial" w:hAnsi="Arial"/>
          <w:color w:val="1E293B"/>
          <w:sz w:val="22"/>
        </w:rPr>
        <w:t xml:space="preserve"> contain an active lean price-out. </w:t>
      </w:r>
      <w:r>
        <w:rPr>
          <w:rFonts w:ascii="Arial" w:hAnsi="Arial"/>
          <w:b/>
          <w:color w:val="0F172A"/>
          <w:sz w:val="22"/>
        </w:rPr>
        <w:t>63% of those</w:t>
      </w:r>
      <w:r>
        <w:rPr>
          <w:rFonts w:ascii="Arial" w:hAnsi="Arial"/>
          <w:color w:val="1E293B"/>
          <w:sz w:val="22"/>
        </w:rPr>
        <w:t xml:space="preserve"> require an AE to offer a solution or alternative. Net result: roughly </w:t>
      </w:r>
      <w:r>
        <w:rPr>
          <w:rFonts w:ascii="Arial" w:hAnsi="Arial"/>
          <w:b/>
          <w:color w:val="0F172A"/>
          <w:sz w:val="22"/>
        </w:rPr>
        <w:t>one-third of all calls require AE intervention</w:t>
      </w:r>
      <w:r>
        <w:rPr>
          <w:rFonts w:ascii="Arial" w:hAnsi="Arial"/>
          <w:color w:val="1E293B"/>
          <w:sz w:val="22"/>
        </w:rPr>
        <w:t xml:space="preserve"> to work around competitive pricing gaps. At scale, this AE bandwidth consumption represents a significant hidden operational cost of the current pricing positioning that does not appear in funnel metrics but constrains team capacity for higher-value activities.</w:t>
      </w:r>
    </w:p>
    <w:p>
      <w:pPr>
        <w:spacing w:before="320" w:after="80"/>
        <w:ind w:left="0"/>
      </w:pPr>
      <w:r>
        <w:rPr>
          <w:rFonts w:ascii="Arial" w:hAnsi="Arial"/>
          <w:b/>
          <w:color w:val="0F172A"/>
          <w:sz w:val="25"/>
        </w:rPr>
        <w:t xml:space="preserve">15.  </w:t>
      </w:r>
      <w:r>
        <w:rPr>
          <w:rFonts w:ascii="Arial" w:hAnsi="Arial"/>
          <w:b/>
          <w:color w:val="854F0B"/>
          <w:sz w:val="25"/>
        </w:rPr>
        <w:t>PRO Rankings awareness (22% of calls) signals a reputational risk as scores continue declining</w:t>
      </w:r>
    </w:p>
    <w:p>
      <w:pPr>
        <w:spacing w:before="40" w:after="160"/>
        <w:ind w:left="360"/>
      </w:pPr>
      <w:r>
        <w:rPr>
          <w:rFonts w:ascii="Arial" w:hAnsi="Arial"/>
          <w:color w:val="1E293B"/>
          <w:sz w:val="22"/>
        </w:rPr>
      </w:r>
      <w:r>
        <w:rPr>
          <w:rFonts w:ascii="Arial" w:hAnsi="Arial"/>
          <w:b/>
          <w:color w:val="0F172A"/>
          <w:sz w:val="22"/>
        </w:rPr>
        <w:t>22% of all calls (149)</w:t>
      </w:r>
      <w:r>
        <w:rPr>
          <w:rFonts w:ascii="Arial" w:hAnsi="Arial"/>
          <w:color w:val="1E293B"/>
          <w:sz w:val="22"/>
        </w:rPr>
        <w:t xml:space="preserve"> mentioned PRO Rankings — the #3 most discussed differentiator. LOs are actively aware of and sensitive to their competitive ranking. With both pilot groups experiencing 24–29% PRO Score declines, there is a compounding reputational risk: LOs whose scores decline due to dynamic pricing may associate the ranking drop with the pilot and share that experience in LO networks, creating a broader chilling effect beyond the pilot cohort.</w:t>
      </w:r>
    </w:p>
    <w:p>
      <w:pPr>
        <w:spacing w:before="320" w:after="80"/>
        <w:ind w:left="0"/>
      </w:pPr>
      <w:r>
        <w:rPr>
          <w:rFonts w:ascii="Arial" w:hAnsi="Arial"/>
          <w:b/>
          <w:color w:val="0F172A"/>
          <w:sz w:val="25"/>
        </w:rPr>
        <w:t xml:space="preserve">16.  </w:t>
      </w:r>
      <w:r>
        <w:rPr>
          <w:rFonts w:ascii="Arial" w:hAnsi="Arial"/>
          <w:b/>
          <w:color w:val="854F0B"/>
          <w:sz w:val="25"/>
        </w:rPr>
        <w:t>Pricing system technical issues are compounding the competitive gap</w:t>
      </w:r>
    </w:p>
    <w:p>
      <w:pPr>
        <w:spacing w:before="40" w:after="160"/>
        <w:ind w:left="360"/>
      </w:pPr>
      <w:r>
        <w:rPr>
          <w:rFonts w:ascii="Arial" w:hAnsi="Arial"/>
          <w:color w:val="1E293B"/>
          <w:sz w:val="22"/>
        </w:rPr>
      </w:r>
      <w:r>
        <w:rPr>
          <w:rFonts w:ascii="Arial" w:hAnsi="Arial"/>
          <w:b/>
          <w:color w:val="0F172A"/>
          <w:sz w:val="22"/>
        </w:rPr>
        <w:t>15% of complaints</w:t>
      </w:r>
      <w:r>
        <w:rPr>
          <w:rFonts w:ascii="Arial" w:hAnsi="Arial"/>
          <w:color w:val="1E293B"/>
          <w:sz w:val="22"/>
        </w:rPr>
        <w:t xml:space="preserve"> cited technical issues: glitches, inability to price certain loan amounts, and double-counted comp in QM calculations. Technical failures layered on competitive pricing gaps create a compounding negative experience — LOs face both 'the price is bad' and 'the system won't let me price this loan.' Resolving technical issues is a </w:t>
      </w:r>
      <w:r>
        <w:rPr>
          <w:rFonts w:ascii="Arial" w:hAnsi="Arial"/>
          <w:b/>
          <w:color w:val="0F172A"/>
          <w:sz w:val="22"/>
        </w:rPr>
        <w:t>near-term, actionable win</w:t>
      </w:r>
      <w:r>
        <w:rPr>
          <w:rFonts w:ascii="Arial" w:hAnsi="Arial"/>
          <w:color w:val="1E293B"/>
          <w:sz w:val="22"/>
        </w:rPr>
        <w:t xml:space="preserve"> that can reduce complaint volume and restore confidence without requiring rate-level changes.</w:t>
      </w:r>
    </w:p>
    <w:p>
      <w:pPr>
        <w:spacing w:before="320" w:after="80"/>
        <w:ind w:left="0"/>
      </w:pPr>
      <w:r>
        <w:rPr>
          <w:rFonts w:ascii="Arial" w:hAnsi="Arial"/>
          <w:b/>
          <w:color w:val="0F172A"/>
          <w:sz w:val="25"/>
        </w:rPr>
        <w:t xml:space="preserve">17.  </w:t>
      </w:r>
      <w:r>
        <w:rPr>
          <w:rFonts w:ascii="Arial" w:hAnsi="Arial"/>
          <w:b/>
          <w:color w:val="185FA5"/>
          <w:sz w:val="25"/>
        </w:rPr>
        <w:t>Closing cost transparency is a separate, addressable complaint driver</w:t>
      </w:r>
    </w:p>
    <w:p>
      <w:pPr>
        <w:spacing w:before="40" w:after="160"/>
        <w:ind w:left="360"/>
      </w:pPr>
      <w:r>
        <w:rPr>
          <w:rFonts w:ascii="Arial" w:hAnsi="Arial"/>
          <w:color w:val="1E293B"/>
          <w:sz w:val="22"/>
        </w:rPr>
      </w:r>
      <w:r>
        <w:rPr>
          <w:rFonts w:ascii="Arial" w:hAnsi="Arial"/>
          <w:b/>
          <w:color w:val="0F172A"/>
          <w:sz w:val="22"/>
        </w:rPr>
        <w:t>20% of complaints</w:t>
      </w:r>
      <w:r>
        <w:rPr>
          <w:rFonts w:ascii="Arial" w:hAnsi="Arial"/>
          <w:color w:val="1E293B"/>
          <w:sz w:val="22"/>
        </w:rPr>
        <w:t xml:space="preserve"> were about fees and closing costs — credit report ($132), underwriting ($1,250), and lock extension fees described as 'often undisclosed upfront.' These complaints appear structurally independent of dynamic pricing and are likely present across both pilot and non-pilot LOs. Implementing upfront cost disclosure improvements — a product and process change, not a pricing change — could substantially reduce this complaint category with no change to the pricing engine.</w:t>
      </w:r>
    </w:p>
    <w:p>
      <w:pPr>
        <w:spacing w:before="320" w:after="80"/>
        <w:ind w:left="0"/>
      </w:pPr>
      <w:r>
        <w:rPr>
          <w:rFonts w:ascii="Arial" w:hAnsi="Arial"/>
          <w:b/>
          <w:color w:val="0F172A"/>
          <w:sz w:val="25"/>
        </w:rPr>
        <w:t xml:space="preserve">18.  </w:t>
      </w:r>
      <w:r>
        <w:rPr>
          <w:rFonts w:ascii="Arial" w:hAnsi="Arial"/>
          <w:b/>
          <w:color w:val="185FA5"/>
          <w:sz w:val="25"/>
        </w:rPr>
        <w:t>Buy-down confusion points to LO education needs that exist regardless of pricing decisions</w:t>
      </w:r>
    </w:p>
    <w:p>
      <w:pPr>
        <w:spacing w:before="40" w:after="160"/>
        <w:ind w:left="360"/>
      </w:pPr>
      <w:r>
        <w:rPr>
          <w:rFonts w:ascii="Arial" w:hAnsi="Arial"/>
          <w:color w:val="1E293B"/>
          <w:sz w:val="22"/>
        </w:rPr>
      </w:r>
      <w:r>
        <w:rPr>
          <w:rFonts w:ascii="Arial" w:hAnsi="Arial"/>
          <w:b/>
          <w:color w:val="0F172A"/>
          <w:sz w:val="22"/>
        </w:rPr>
        <w:t>15% of complaints</w:t>
      </w:r>
      <w:r>
        <w:rPr>
          <w:rFonts w:ascii="Arial" w:hAnsi="Arial"/>
          <w:color w:val="1E293B"/>
          <w:sz w:val="22"/>
        </w:rPr>
        <w:t xml:space="preserve"> about buydown pricing cited confusion on costs, only 1% option availability, and concerns about DTI impacts and refi eligibility. Even if dynamic pricing is modified or paused, LOs will need additional training on buydown structures to compete effectively in the current rate environment. An LO education investment in buydown mechanics and qualification criteria is likely to yield competitive wins independent of pricing system decisions.</w:t>
      </w:r>
    </w:p>
    <w:p>
      <w:pPr>
        <w:spacing w:before="320" w:after="80"/>
        <w:ind w:left="0"/>
      </w:pPr>
      <w:r>
        <w:rPr>
          <w:rFonts w:ascii="Arial" w:hAnsi="Arial"/>
          <w:b/>
          <w:color w:val="0F172A"/>
          <w:sz w:val="25"/>
        </w:rPr>
        <w:t xml:space="preserve">19.  </w:t>
      </w:r>
      <w:r>
        <w:rPr>
          <w:rFonts w:ascii="Arial" w:hAnsi="Arial"/>
          <w:b/>
          <w:color w:val="27500A"/>
          <w:sz w:val="25"/>
        </w:rPr>
        <w:t>The 24-day matched window methodology is robust — findings are not a timing artifact</w:t>
      </w:r>
    </w:p>
    <w:p>
      <w:pPr>
        <w:spacing w:before="40" w:after="160"/>
        <w:ind w:left="360"/>
      </w:pPr>
      <w:r>
        <w:rPr>
          <w:rFonts w:ascii="Arial" w:hAnsi="Arial"/>
          <w:color w:val="1E293B"/>
          <w:sz w:val="22"/>
        </w:rPr>
        <w:t xml:space="preserve">The analysis uses </w:t>
      </w:r>
      <w:r>
        <w:rPr>
          <w:rFonts w:ascii="Arial" w:hAnsi="Arial"/>
          <w:b/>
          <w:color w:val="0F172A"/>
          <w:sz w:val="22"/>
        </w:rPr>
        <w:t>exactly 24 days before</w:t>
      </w:r>
      <w:r>
        <w:rPr>
          <w:rFonts w:ascii="Arial" w:hAnsi="Arial"/>
          <w:color w:val="1E293B"/>
          <w:sz w:val="22"/>
        </w:rPr>
        <w:t xml:space="preserve"> (Mar 27–Apr 19) and </w:t>
      </w:r>
      <w:r>
        <w:rPr>
          <w:rFonts w:ascii="Arial" w:hAnsi="Arial"/>
          <w:b/>
          <w:color w:val="0F172A"/>
          <w:sz w:val="22"/>
        </w:rPr>
        <w:t>exactly 24 days during</w:t>
      </w:r>
      <w:r>
        <w:rPr>
          <w:rFonts w:ascii="Arial" w:hAnsi="Arial"/>
          <w:color w:val="1E293B"/>
          <w:sz w:val="22"/>
        </w:rPr>
        <w:t xml:space="preserve"> (Apr 20–May 13) the pilot — controlling for duration effects. The Unassigned group, operating in the same window without pilot exposure, grew </w:t>
      </w:r>
      <w:r>
        <w:rPr>
          <w:rFonts w:ascii="Arial" w:hAnsi="Arial"/>
          <w:b/>
          <w:color w:val="0F172A"/>
          <w:sz w:val="22"/>
        </w:rPr>
        <w:t>11–21% across all metrics</w:t>
      </w:r>
      <w:r>
        <w:rPr>
          <w:rFonts w:ascii="Arial" w:hAnsi="Arial"/>
          <w:color w:val="1E293B"/>
          <w:sz w:val="22"/>
        </w:rPr>
        <w:t xml:space="preserve">, confirming the market environment was favorable. Seasonal explanations, market slowdowns, or volume fluctuations cannot account for Treatment's declines. </w:t>
      </w:r>
      <w:r>
        <w:rPr>
          <w:rFonts w:ascii="Arial" w:hAnsi="Arial"/>
          <w:b/>
          <w:color w:val="0F172A"/>
          <w:sz w:val="22"/>
        </w:rPr>
        <w:t>The methodology is sound and the findings are definitive within the measurement window.</w:t>
      </w:r>
      <w:r>
        <w:rPr>
          <w:rFonts w:ascii="Arial" w:hAnsi="Arial"/>
          <w:color w:val="1E293B"/>
          <w:sz w:val="22"/>
        </w:rPr>
      </w:r>
    </w:p>
    <w:p>
      <w:pPr>
        <w:spacing w:before="320" w:after="80"/>
        <w:ind w:left="0"/>
      </w:pPr>
      <w:r>
        <w:rPr>
          <w:rFonts w:ascii="Arial" w:hAnsi="Arial"/>
          <w:b/>
          <w:color w:val="0F172A"/>
          <w:sz w:val="25"/>
        </w:rPr>
        <w:t xml:space="preserve">20.  </w:t>
      </w:r>
      <w:r>
        <w:rPr>
          <w:rFonts w:ascii="Arial" w:hAnsi="Arial"/>
          <w:b/>
          <w:color w:val="0F172A"/>
          <w:sz w:val="25"/>
        </w:rPr>
        <w:t>Five independent data streams converge on the same conclusion</w:t>
      </w:r>
    </w:p>
    <w:p>
      <w:pPr>
        <w:spacing w:before="40" w:after="160"/>
        <w:ind w:left="360"/>
      </w:pPr>
      <w:r>
        <w:rPr>
          <w:rFonts w:ascii="Arial" w:hAnsi="Arial"/>
          <w:color w:val="1E293B"/>
          <w:sz w:val="22"/>
        </w:rPr>
        <w:t xml:space="preserve">Five independent data dimensions — </w:t>
      </w:r>
      <w:r>
        <w:rPr>
          <w:rFonts w:ascii="Arial" w:hAnsi="Arial"/>
          <w:b/>
          <w:color w:val="0F172A"/>
          <w:sz w:val="22"/>
        </w:rPr>
        <w:t>(1)</w:t>
      </w:r>
      <w:r>
        <w:rPr>
          <w:rFonts w:ascii="Arial" w:hAnsi="Arial"/>
          <w:color w:val="1E293B"/>
          <w:sz w:val="22"/>
        </w:rPr>
        <w:t xml:space="preserve"> funnel metrics (Imports, Submissions, Locks, Wires), </w:t>
      </w:r>
      <w:r>
        <w:rPr>
          <w:rFonts w:ascii="Arial" w:hAnsi="Arial"/>
          <w:b/>
          <w:color w:val="0F172A"/>
          <w:sz w:val="22"/>
        </w:rPr>
        <w:t>(2)</w:t>
      </w:r>
      <w:r>
        <w:rPr>
          <w:rFonts w:ascii="Arial" w:hAnsi="Arial"/>
          <w:color w:val="1E293B"/>
          <w:sz w:val="22"/>
        </w:rPr>
        <w:t xml:space="preserve"> behavioral data (EQ visits), </w:t>
      </w:r>
      <w:r>
        <w:rPr>
          <w:rFonts w:ascii="Arial" w:hAnsi="Arial"/>
          <w:b/>
          <w:color w:val="0F172A"/>
          <w:sz w:val="22"/>
        </w:rPr>
        <w:t>(3)</w:t>
      </w:r>
      <w:r>
        <w:rPr>
          <w:rFonts w:ascii="Arial" w:hAnsi="Arial"/>
          <w:color w:val="1E293B"/>
          <w:sz w:val="22"/>
        </w:rPr>
        <w:t xml:space="preserve"> competitive scoring (PRO Score), </w:t>
      </w:r>
      <w:r>
        <w:rPr>
          <w:rFonts w:ascii="Arial" w:hAnsi="Arial"/>
          <w:b/>
          <w:color w:val="0F172A"/>
          <w:sz w:val="22"/>
        </w:rPr>
        <w:t>(4)</w:t>
      </w:r>
      <w:r>
        <w:rPr>
          <w:rFonts w:ascii="Arial" w:hAnsi="Arial"/>
          <w:color w:val="1E293B"/>
          <w:sz w:val="22"/>
        </w:rPr>
        <w:t xml:space="preserve"> qualitative call intelligence (pricing complaints, buydown demand), and </w:t>
      </w:r>
      <w:r>
        <w:rPr>
          <w:rFonts w:ascii="Arial" w:hAnsi="Arial"/>
          <w:b/>
          <w:color w:val="0F172A"/>
          <w:sz w:val="22"/>
        </w:rPr>
        <w:t>(5)</w:t>
      </w:r>
      <w:r>
        <w:rPr>
          <w:rFonts w:ascii="Arial" w:hAnsi="Arial"/>
          <w:color w:val="1E293B"/>
          <w:sz w:val="22"/>
        </w:rPr>
        <w:t xml:space="preserve"> market baseline control (Unassigned group) — all point in the same direction. When five distinct measurement approaches produce the same conclusion, the findings are robust. The null hypothesis — that dynamic pricing is not causing material harm — is not supported by any of these data streams.</w:t>
      </w:r>
    </w:p>
    <w:p>
      <w:pPr>
        <w:spacing w:before="320" w:after="80"/>
        <w:ind w:left="0"/>
      </w:pPr>
      <w:r>
        <w:rPr>
          <w:rFonts w:ascii="Arial" w:hAnsi="Arial"/>
          <w:b/>
          <w:color w:val="0F172A"/>
          <w:sz w:val="25"/>
        </w:rPr>
        <w:t xml:space="preserve">21.  </w:t>
      </w:r>
      <w:r>
        <w:rPr>
          <w:rFonts w:ascii="Arial" w:hAnsi="Arial"/>
          <w:b/>
          <w:color w:val="791F1F"/>
          <w:sz w:val="25"/>
        </w:rPr>
        <w:t>Recommended actions before any expansion decision</w:t>
      </w:r>
    </w:p>
    <w:p>
      <w:pPr>
        <w:spacing w:before="40" w:after="160"/>
        <w:ind w:left="360"/>
      </w:pPr>
      <w:r>
        <w:rPr>
          <w:rFonts w:ascii="Arial" w:hAnsi="Arial"/>
          <w:color w:val="1E293B"/>
          <w:sz w:val="22"/>
        </w:rPr>
        <w:t xml:space="preserve">Based on the convergent evidence: </w:t>
      </w:r>
      <w:r>
        <w:rPr>
          <w:rFonts w:ascii="Arial" w:hAnsi="Arial"/>
          <w:b/>
          <w:color w:val="0F172A"/>
          <w:sz w:val="22"/>
        </w:rPr>
        <w:t>(1)</w:t>
      </w:r>
      <w:r>
        <w:rPr>
          <w:rFonts w:ascii="Arial" w:hAnsi="Arial"/>
          <w:color w:val="1E293B"/>
          <w:sz w:val="22"/>
        </w:rPr>
        <w:t xml:space="preserve"> Pause or restrict Treatment group enrollment pending pricing engine review; </w:t>
      </w:r>
      <w:r>
        <w:rPr>
          <w:rFonts w:ascii="Arial" w:hAnsi="Arial"/>
          <w:b/>
          <w:color w:val="0F172A"/>
          <w:sz w:val="22"/>
        </w:rPr>
        <w:t>(2)</w:t>
      </w:r>
      <w:r>
        <w:rPr>
          <w:rFonts w:ascii="Arial" w:hAnsi="Arial"/>
          <w:color w:val="1E293B"/>
          <w:sz w:val="22"/>
        </w:rPr>
        <w:t xml:space="preserve"> Conduct pricing competitiveness audit against WF, Chase, PennyMac for the loan types showing the largest submission drops; </w:t>
      </w:r>
      <w:r>
        <w:rPr>
          <w:rFonts w:ascii="Arial" w:hAnsi="Arial"/>
          <w:b/>
          <w:color w:val="0F172A"/>
          <w:sz w:val="22"/>
        </w:rPr>
        <w:t>(3)</w:t>
      </w:r>
      <w:r>
        <w:rPr>
          <w:rFonts w:ascii="Arial" w:hAnsi="Arial"/>
          <w:color w:val="1E293B"/>
          <w:sz w:val="22"/>
        </w:rPr>
        <w:t xml:space="preserve"> Expand buydown option structures from 1% to at least 2/1 and 3/2/1; </w:t>
      </w:r>
      <w:r>
        <w:rPr>
          <w:rFonts w:ascii="Arial" w:hAnsi="Arial"/>
          <w:b/>
          <w:color w:val="0F172A"/>
          <w:sz w:val="22"/>
        </w:rPr>
        <w:t>(4)</w:t>
      </w:r>
      <w:r>
        <w:rPr>
          <w:rFonts w:ascii="Arial" w:hAnsi="Arial"/>
          <w:color w:val="1E293B"/>
          <w:sz w:val="22"/>
        </w:rPr>
        <w:t xml:space="preserve"> Resolve identified QM comp double-count and pricing system glitches; </w:t>
      </w:r>
      <w:r>
        <w:rPr>
          <w:rFonts w:ascii="Arial" w:hAnsi="Arial"/>
          <w:b/>
          <w:color w:val="0F172A"/>
          <w:sz w:val="22"/>
        </w:rPr>
        <w:t>(5)</w:t>
      </w:r>
      <w:r>
        <w:rPr>
          <w:rFonts w:ascii="Arial" w:hAnsi="Arial"/>
          <w:color w:val="1E293B"/>
          <w:sz w:val="22"/>
        </w:rPr>
        <w:t xml:space="preserve"> Implement upfront fee disclosure improvements; </w:t>
      </w:r>
      <w:r>
        <w:rPr>
          <w:rFonts w:ascii="Arial" w:hAnsi="Arial"/>
          <w:b/>
          <w:color w:val="0F172A"/>
          <w:sz w:val="22"/>
        </w:rPr>
        <w:t>(6)</w:t>
      </w:r>
      <w:r>
        <w:rPr>
          <w:rFonts w:ascii="Arial" w:hAnsi="Arial"/>
          <w:color w:val="1E293B"/>
          <w:sz w:val="22"/>
        </w:rPr>
        <w:t xml:space="preserve"> Re-run 24-day matched window analysis after changes before considering expansion.</w:t>
      </w:r>
    </w:p>
    <w:p>
      <w:pPr>
        <w:spacing w:before="160" w:after="160"/>
        <w:pBdr>
          <w:bottom w:val="single" w:sz="6" w:space="4" w:color="CBD5E1"/>
        </w:pBdr>
      </w:pPr>
    </w:p>
    <w:p>
      <w:pPr>
        <w:spacing w:before="80" w:after="0"/>
      </w:pPr>
      <w:r>
        <w:rPr>
          <w:rFonts w:ascii="Arial" w:hAnsi="Arial"/>
          <w:b/>
          <w:color w:val="64748B"/>
          <w:sz w:val="18"/>
        </w:rPr>
        <w:t xml:space="preserve">Data sources: </w:t>
      </w:r>
      <w:r>
        <w:rPr>
          <w:rFonts w:ascii="Arial" w:hAnsi="Arial"/>
          <w:color w:val="64748B"/>
          <w:sz w:val="18"/>
        </w:rPr>
        <w:t>Pilot Metrics Dashboard (ImportDate-based); 24-day matched windows Mar 27–Apr 19 (before) and Apr 20–May 13 (during pilot); Call monitoring dataset. Analysis conducted May 14,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