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9" ma:contentTypeDescription="Create a new document." ma:contentTypeScope="" ma:versionID="e9674f2105a4ea1cd8e8fd9ad5f82f1d">
  <xsd:schema xmlns:xsd="http://www.w3.org/2001/XMLSchema" xmlns:xs="http://www.w3.org/2001/XMLSchema" xmlns:p="http://schemas.microsoft.com/office/2006/metadata/properties" xmlns:ns2="6000e060-03b8-4b5a-b938-e5b3a17c162b" targetNamespace="http://schemas.microsoft.com/office/2006/metadata/properties" ma:root="true" ma:fieldsID="6748ac462f5f5d22133ff3acabd366f2" ns2:_="">
    <xsd:import namespace="6000e060-03b8-4b5a-b938-e5b3a17c16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934B6DB2-D0C0-45C7-BAAC-B053EA59A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0e060-03b8-4b5a-b938-e5b3a17c1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Chapter</dc:title>
  <dc:subject/>
  <dc:creator>Reed Elsevier</dc:creator>
  <keywords/>
  <lastModifiedBy>Sandeep Prakash</lastModifiedBy>
  <revision>554</revision>
  <lastPrinted>2004-12-17T17:20:00.0000000Z</lastPrinted>
  <dcterms:created xsi:type="dcterms:W3CDTF">2020-09-04T23:29:00.0000000Z</dcterms:created>
  <dcterms:modified xsi:type="dcterms:W3CDTF">2020-09-07T15:33:14.0367708Z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