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4F46E5"/>
          <w:sz w:val="56"/>
          <w:szCs w:val="56"/>
        </w:rPr>
        <w:t xml:space="preserve">AI-DevStudio</w:t>
      </w:r>
    </w:p>
    <w:p>
      <w:pPr>
        <w:spacing w:after="400"/>
        <w:jc w:val="center"/>
      </w:pPr>
      <w:r>
        <w:rPr>
          <w:rFonts w:ascii="Calibri" w:cs="Calibri" w:eastAsia="Calibri" w:hAnsi="Calibri"/>
          <w:color w:val="334155"/>
          <w:sz w:val="30"/>
          <w:szCs w:val="30"/>
        </w:rPr>
        <w:t xml:space="preserve">Intelligent Code &amp; Content Analyzer with Analytics Dashboard</w:t>
      </w:r>
    </w:p>
    <w:p>
      <w:pPr>
        <w:spacing w:after="100" w:before="800"/>
        <w:jc w:val="center"/>
      </w:pPr>
      <w:r>
        <w:rPr>
          <w:rFonts w:ascii="Calibri" w:cs="Calibri" w:eastAsia="Calibri" w:hAnsi="Calibri"/>
          <w:b/>
          <w:bCs/>
          <w:sz w:val="26"/>
          <w:szCs w:val="26"/>
        </w:rPr>
        <w:t xml:space="preserve">Capstone Project Report</w:t>
      </w:r>
    </w:p>
    <w:p>
      <w:pPr>
        <w:spacing w:after="100"/>
        <w:jc w:val="center"/>
      </w:pPr>
      <w:r>
        <w:rPr>
          <w:rFonts w:ascii="Calibri" w:cs="Calibri" w:eastAsia="Calibri" w:hAnsi="Calibri"/>
          <w:color w:val="475569"/>
          <w:sz w:val="22"/>
          <w:szCs w:val="22"/>
        </w:rPr>
        <w:t xml:space="preserve">Full-Stack Developer Track — MERN Stack</w:t>
      </w:r>
    </w:p>
    <w:p>
      <w:pPr>
        <w:spacing w:after="100"/>
        <w:jc w:val="center"/>
      </w:pPr>
      <w:r>
        <w:rPr>
          <w:rFonts w:ascii="Calibri" w:cs="Calibri" w:eastAsia="Calibri" w:hAnsi="Calibri"/>
          <w:color w:val="475569"/>
          <w:sz w:val="22"/>
          <w:szCs w:val="22"/>
        </w:rPr>
        <w:t xml:space="preserve">EduLinkUp Full-Stack Internship Program</w:t>
      </w:r>
    </w:p>
    <w:p>
      <w:pPr>
        <w:spacing w:before="800"/>
        <w:jc w:val="center"/>
      </w:pPr>
      <w:r>
        <w:rPr>
          <w:rFonts w:ascii="Calibri" w:cs="Calibri" w:eastAsia="Calibri" w:hAnsi="Calibri"/>
          <w:sz w:val="22"/>
          <w:szCs w:val="22"/>
        </w:rPr>
        <w:t xml:space="preserve">Submitted by: Sandeep Sidar</w:t>
      </w:r>
    </w:p>
    <w:p>
      <w:pPr>
        <w:spacing w:before="100"/>
        <w:jc w:val="center"/>
      </w:pPr>
      <w:r>
        <w:rPr>
          <w:rFonts w:ascii="Calibri" w:cs="Calibri" w:eastAsia="Calibri" w:hAnsi="Calibri"/>
          <w:color w:val="64748B"/>
          <w:sz w:val="20"/>
          <w:szCs w:val="20"/>
        </w:rPr>
        <w:t xml:space="preserve">Domain: Full Stack Development  |  Subdomain: MERN Stack  |  Difficulty: Medium</w:t>
      </w:r>
    </w:p>
    <w:p>
      <w:pPr>
        <w:spacing w:before="100"/>
        <w:jc w:val="center"/>
      </w:pPr>
      <w:r>
        <w:rPr>
          <w:rFonts w:ascii="Calibri" w:cs="Calibri" w:eastAsia="Calibri" w:hAnsi="Calibri"/>
          <w:color w:val="64748B"/>
          <w:sz w:val="20"/>
          <w:szCs w:val="20"/>
        </w:rPr>
        <w:t xml:space="preserve">GitHub: github.com/sandeepsidar1210-rgb/AI-DevStudio-MERN</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E293B"/>
        </w:rPr>
        <w:t xml:space="preserve">1. Introduction &amp; Problem Statement</w:t>
      </w:r>
    </w:p>
    <w:p>
      <w:pPr>
        <w:spacing w:after="160" w:line="276"/>
      </w:pPr>
      <w:r>
        <w:rPr>
          <w:rFonts w:ascii="Calibri" w:cs="Calibri" w:eastAsia="Calibri" w:hAnsi="Calibri"/>
          <w:sz w:val="22"/>
          <w:szCs w:val="22"/>
        </w:rPr>
        <w:t xml:space="preserve">AI-DevStudio is a full-stack Micro-SaaS application built on the MERN stack (MongoDB, Express.js, React, Node.js) that lets a developer submit a code snippet or a piece of written content and receive an automated, AI-generated quality review. The system is powered by Google’s Gemini API and is wrapped in a complete SaaS-style product experience: authenticated accounts, usage-limited free tier, a searchable history of past scans, and an analytics dashboard that turns those scans into aggregate insight.</w:t>
      </w:r>
    </w:p>
    <w:p>
      <w:pPr>
        <w:spacing w:after="160" w:line="276"/>
      </w:pPr>
      <w:r>
        <w:rPr>
          <w:rFonts w:ascii="Calibri" w:cs="Calibri" w:eastAsia="Calibri" w:hAnsi="Calibri"/>
          <w:sz w:val="22"/>
          <w:szCs w:val="22"/>
        </w:rPr>
        <w:t xml:space="preserve">The project was undertaken as the Capstone Project for the EduLinkUp Full-Stack Internship (MERN Stack track), claimed under the "Analytics Dashboard" project domain. Organizations increasingly rely on analytics dashboards for data-driven decision making, and this project demonstrates that pattern end-to-end: raw event data (individual AI analyses) is captured, aggregated inside MongoDB, and rendered as interactive charts and KPIs that a real product team could use to understand usage, code quality trends, and security posture across many scans.</w:t>
      </w:r>
    </w:p>
    <w:p>
      <w:pPr>
        <w:pStyle w:val="Heading2"/>
        <w:spacing w:after="140" w:before="260"/>
      </w:pPr>
      <w:r>
        <w:rPr>
          <w:rFonts w:ascii="Calibri" w:cs="Calibri" w:eastAsia="Calibri" w:hAnsi="Calibri"/>
          <w:b/>
          <w:bCs/>
          <w:color w:val="4F46E5"/>
        </w:rPr>
        <w:t xml:space="preserve">1.1 Objectives</w:t>
      </w:r>
    </w:p>
    <w:p>
      <w:pPr>
        <w:pStyle w:val="ListParagraph"/>
        <w:numPr>
          <w:ilvl w:val="0"/>
          <w:numId w:val="2"/>
        </w:numPr>
        <w:spacing w:after="80"/>
      </w:pPr>
      <w:r>
        <w:rPr>
          <w:rFonts w:ascii="Calibri" w:cs="Calibri" w:eastAsia="Calibri" w:hAnsi="Calibri"/>
          <w:sz w:val="22"/>
          <w:szCs w:val="22"/>
        </w:rPr>
        <w:t xml:space="preserve">Build a working AI integration that returns structured, actionable feedback on code and content.</w:t>
      </w:r>
    </w:p>
    <w:p>
      <w:pPr>
        <w:pStyle w:val="ListParagraph"/>
        <w:numPr>
          <w:ilvl w:val="0"/>
          <w:numId w:val="2"/>
        </w:numPr>
        <w:spacing w:after="80"/>
      </w:pPr>
      <w:r>
        <w:rPr>
          <w:rFonts w:ascii="Calibri" w:cs="Calibri" w:eastAsia="Calibri" w:hAnsi="Calibri"/>
          <w:sz w:val="22"/>
          <w:szCs w:val="22"/>
        </w:rPr>
        <w:t xml:space="preserve">Design a MongoDB schema and aggregation pipelines that support fast, filterable analytics.</w:t>
      </w:r>
    </w:p>
    <w:p>
      <w:pPr>
        <w:pStyle w:val="ListParagraph"/>
        <w:numPr>
          <w:ilvl w:val="0"/>
          <w:numId w:val="2"/>
        </w:numPr>
        <w:spacing w:after="80"/>
      </w:pPr>
      <w:r>
        <w:rPr>
          <w:rFonts w:ascii="Calibri" w:cs="Calibri" w:eastAsia="Calibri" w:hAnsi="Calibri"/>
          <w:sz w:val="22"/>
          <w:szCs w:val="22"/>
        </w:rPr>
        <w:t xml:space="preserve">Visualize aggregated data with multiple interactive chart types (pie, bar, line) and summary KPI cards.</w:t>
      </w:r>
    </w:p>
    <w:p>
      <w:pPr>
        <w:pStyle w:val="ListParagraph"/>
        <w:numPr>
          <w:ilvl w:val="0"/>
          <w:numId w:val="2"/>
        </w:numPr>
        <w:spacing w:after="80"/>
      </w:pPr>
      <w:r>
        <w:rPr>
          <w:rFonts w:ascii="Calibri" w:cs="Calibri" w:eastAsia="Calibri" w:hAnsi="Calibri"/>
          <w:sz w:val="22"/>
          <w:szCs w:val="22"/>
        </w:rPr>
        <w:t xml:space="preserve">Implement authentication, authorization, and usage-based rate limiting as a production SaaS would.</w:t>
      </w:r>
    </w:p>
    <w:p>
      <w:pPr>
        <w:pStyle w:val="ListParagraph"/>
        <w:numPr>
          <w:ilvl w:val="0"/>
          <w:numId w:val="2"/>
        </w:numPr>
        <w:spacing w:after="80"/>
      </w:pPr>
      <w:r>
        <w:rPr>
          <w:rFonts w:ascii="Calibri" w:cs="Calibri" w:eastAsia="Calibri" w:hAnsi="Calibri"/>
          <w:sz w:val="22"/>
          <w:szCs w:val="22"/>
        </w:rPr>
        <w:t xml:space="preserve">Provide dashboard customization (toggleable widgets) and shareable output (PDF/image export).</w:t>
      </w:r>
    </w:p>
    <w:p>
      <w:pPr>
        <w:pStyle w:val="ListParagraph"/>
        <w:numPr>
          <w:ilvl w:val="0"/>
          <w:numId w:val="2"/>
        </w:numPr>
        <w:spacing w:after="80"/>
      </w:pPr>
      <w:r>
        <w:rPr>
          <w:rFonts w:ascii="Calibri" w:cs="Calibri" w:eastAsia="Calibri" w:hAnsi="Calibri"/>
          <w:sz w:val="22"/>
          <w:szCs w:val="22"/>
        </w:rPr>
        <w:t xml:space="preserve">Deploy the application to production infrastructure with a public, working demo.</w:t>
      </w:r>
    </w:p>
    <w:p>
      <w:pPr>
        <w:pStyle w:val="Heading2"/>
        <w:spacing w:after="140" w:before="260"/>
      </w:pPr>
      <w:r>
        <w:rPr>
          <w:rFonts w:ascii="Calibri" w:cs="Calibri" w:eastAsia="Calibri" w:hAnsi="Calibri"/>
          <w:b/>
          <w:bCs/>
          <w:color w:val="4F46E5"/>
        </w:rPr>
        <w:t xml:space="preserve">1.2 Scope</w:t>
      </w:r>
    </w:p>
    <w:p>
      <w:pPr>
        <w:spacing w:after="160" w:line="276"/>
      </w:pPr>
      <w:r>
        <w:rPr>
          <w:rFonts w:ascii="Calibri" w:cs="Calibri" w:eastAsia="Calibri" w:hAnsi="Calibri"/>
          <w:sz w:val="22"/>
          <w:szCs w:val="22"/>
        </w:rPr>
        <w:t xml:space="preserve">The MVP scope was deliberately kept tight: two analysis types (code and content), a single free-tier usage cap, and one dashboard per user. Payment/subscription tiers, team accounts, and multi-language UI were treated as future scope so that the core AI + analytics + visualization pipeline could be built to a high standard within the internship timeline.</w:t>
      </w:r>
    </w:p>
    <w:p>
      <w:pPr>
        <w:pStyle w:val="Heading1"/>
        <w:spacing w:after="200" w:before="360"/>
      </w:pPr>
      <w:r>
        <w:rPr>
          <w:rFonts w:ascii="Calibri" w:cs="Calibri" w:eastAsia="Calibri" w:hAnsi="Calibri"/>
          <w:b/>
          <w:bCs/>
          <w:color w:val="1E293B"/>
        </w:rPr>
        <w:t xml:space="preserve">2. System Architecture</w:t>
      </w:r>
    </w:p>
    <w:p>
      <w:pPr>
        <w:spacing w:after="160" w:line="276"/>
      </w:pPr>
      <w:r>
        <w:rPr>
          <w:rFonts w:ascii="Calibri" w:cs="Calibri" w:eastAsia="Calibri" w:hAnsi="Calibri"/>
          <w:sz w:val="22"/>
          <w:szCs w:val="22"/>
        </w:rPr>
        <w:t xml:space="preserve">The system follows a classic three-tier MERN architecture, deployed as two independently hosted services that communicate over a REST API.</w:t>
      </w:r>
    </w:p>
    <w:p>
      <w:pPr>
        <w:pStyle w:val="Heading2"/>
        <w:spacing w:after="140" w:before="260"/>
      </w:pPr>
      <w:r>
        <w:rPr>
          <w:rFonts w:ascii="Calibri" w:cs="Calibri" w:eastAsia="Calibri" w:hAnsi="Calibri"/>
          <w:b/>
          <w:bCs/>
          <w:color w:val="4F46E5"/>
        </w:rPr>
        <w:t xml:space="preserve">2.1 High-Level Architecture</w:t>
      </w:r>
    </w:p>
    <w:p>
      <w:pPr>
        <w:shd w:fill="F1F5F9" w:val="clear"/>
        <w:spacing w:after="160" w:before="80"/>
      </w:pPr>
      <w:r>
        <w:rPr>
          <w:rFonts w:ascii="Consolas" w:cs="Consolas" w:eastAsia="Consolas" w:hAnsi="Consolas"/>
          <w:color w:val="334155"/>
          <w:sz w:val="20"/>
          <w:szCs w:val="20"/>
        </w:rPr>
        <w:t xml:space="preserve">[ React SPA (Vercel) ]  --HTTPS/JSON--&gt;  [ Express API (Render) ]  &lt;--&gt;  [ MongoDB Atlas ]
        |                                        |
        |                                        +--&gt; [ Google Gemini API ]
   axios + JWT bearer token                 JWT auth middleware, rate limiter</w:t>
      </w:r>
    </w:p>
    <w:p>
      <w:pPr>
        <w:spacing w:after="160" w:line="276"/>
      </w:pPr>
      <w:r>
        <w:rPr>
          <w:rFonts w:ascii="Calibri" w:cs="Calibri" w:eastAsia="Calibri" w:hAnsi="Calibri"/>
          <w:sz w:val="22"/>
          <w:szCs w:val="22"/>
        </w:rPr>
        <w:t xml:space="preserve">The frontend is a single-page React application (built with Vite) that never talks to MongoDB or Gemini directly — all data access and AI calls are proxied through the Express backend, which enforces authentication and rate limits before any external API call is made. This keeps the Gemini API key server-side only and lets the backend meter usage per user regardless of which client calls it.</w:t>
      </w:r>
    </w:p>
    <w:p>
      <w:pPr>
        <w:pStyle w:val="Heading2"/>
        <w:spacing w:after="140" w:before="260"/>
      </w:pPr>
      <w:r>
        <w:rPr>
          <w:rFonts w:ascii="Calibri" w:cs="Calibri" w:eastAsia="Calibri" w:hAnsi="Calibri"/>
          <w:b/>
          <w:bCs/>
          <w:color w:val="4F46E5"/>
        </w:rPr>
        <w:t xml:space="preserve">2.2 Backend Layered (MVC) Structure</w:t>
      </w:r>
    </w:p>
    <w:p>
      <w:pPr>
        <w:shd w:fill="F1F5F9" w:val="clear"/>
        <w:spacing w:after="160" w:before="80"/>
      </w:pPr>
      <w:r>
        <w:rPr>
          <w:rFonts w:ascii="Consolas" w:cs="Consolas" w:eastAsia="Consolas" w:hAnsi="Consolas"/>
          <w:color w:val="334155"/>
          <w:sz w:val="20"/>
          <w:szCs w:val="20"/>
        </w:rPr>
        <w:t xml:space="preserve">backend/src/
  config/       - MongoDB connection
  models/       - User, Analysis (Mongoose schemas)
  controllers/  - auth, analysis, analytics (business logic)
  routes/       - Express route definitions
  middleware/   - JWT auth guard, free-tier rate limiter
  services/     - Gemini LLM integration (llmServices.js)
  utils/        - prompt templates (prompt.js)</w:t>
      </w:r>
    </w:p>
    <w:p>
      <w:pPr>
        <w:spacing w:after="160" w:line="276"/>
      </w:pPr>
      <w:r>
        <w:rPr>
          <w:rFonts w:ascii="Calibri" w:cs="Calibri" w:eastAsia="Calibri" w:hAnsi="Calibri"/>
          <w:sz w:val="22"/>
          <w:szCs w:val="22"/>
        </w:rPr>
        <w:t xml:space="preserve">Each layer has a single responsibility: routes only wire URLs to controllers, controllers only orchestrate (validate input, call services, shape the response), and services encapsulate the actual Gemini API call, retry logic, and response parsing. This separation made it straightforward to add the analytics layer later without touching the analysis logic that already existed.</w:t>
      </w:r>
    </w:p>
    <w:p>
      <w:pPr>
        <w:pStyle w:val="Heading2"/>
        <w:spacing w:after="140" w:before="260"/>
      </w:pPr>
      <w:r>
        <w:rPr>
          <w:rFonts w:ascii="Calibri" w:cs="Calibri" w:eastAsia="Calibri" w:hAnsi="Calibri"/>
          <w:b/>
          <w:bCs/>
          <w:color w:val="4F46E5"/>
        </w:rPr>
        <w:t xml:space="preserve">2.3 Frontend Structure</w:t>
      </w:r>
    </w:p>
    <w:p>
      <w:pPr>
        <w:shd w:fill="F1F5F9" w:val="clear"/>
        <w:spacing w:after="160" w:before="80"/>
      </w:pPr>
      <w:r>
        <w:rPr>
          <w:rFonts w:ascii="Consolas" w:cs="Consolas" w:eastAsia="Consolas" w:hAnsi="Consolas"/>
          <w:color w:val="334155"/>
          <w:sz w:val="20"/>
          <w:szCs w:val="20"/>
        </w:rPr>
        <w:t xml:space="preserve">frontend/src/
  context/AuthContext.jsx   - global auth state (login/register/logout)
  hooks/useAuth.js          - convenience hook over AuthContext
  components/ProtectedRoute - route guard, redirects unauthenticated users
  pages/Login.jsx, Register.jsx
  pages/Dashboard.jsx       - landing page after login
  pages/Analyzer.jsx        - code/content submission + results
  pages/AnalyticsDashboard.jsx - charts, KPIs, filters, export
  services/api.js           - axios instance with JWT interceptor</w:t>
      </w:r>
    </w:p>
    <w:p>
      <w:pPr>
        <w:spacing w:after="160" w:line="276"/>
      </w:pPr>
      <w:r>
        <w:rPr>
          <w:rFonts w:ascii="Calibri" w:cs="Calibri" w:eastAsia="Calibri" w:hAnsi="Calibri"/>
          <w:sz w:val="22"/>
          <w:szCs w:val="22"/>
        </w:rPr>
        <w:t xml:space="preserve">Authentication state is held in React Context and persisted to localStorage so that a page refresh does not log the user out. Every outgoing API request automatically attaches the stored JWT via an axios request interceptor, so individual components never have to manage the token manually.</w:t>
      </w:r>
    </w:p>
    <w:p>
      <w:pPr>
        <w:pStyle w:val="Heading1"/>
        <w:spacing w:after="200" w:before="360"/>
      </w:pPr>
      <w:r>
        <w:rPr>
          <w:rFonts w:ascii="Calibri" w:cs="Calibri" w:eastAsia="Calibri" w:hAnsi="Calibri"/>
          <w:b/>
          <w:bCs/>
          <w:color w:val="1E293B"/>
        </w:rPr>
        <w:t xml:space="preserve">3. Database Schema &amp; MongoDB Aggregation Strategy</w:t>
      </w:r>
    </w:p>
    <w:p>
      <w:pPr>
        <w:pStyle w:val="Heading2"/>
        <w:spacing w:after="140" w:before="260"/>
      </w:pPr>
      <w:r>
        <w:rPr>
          <w:rFonts w:ascii="Calibri" w:cs="Calibri" w:eastAsia="Calibri" w:hAnsi="Calibri"/>
          <w:b/>
          <w:bCs/>
          <w:color w:val="4F46E5"/>
        </w:rPr>
        <w:t xml:space="preserve">3.1 Schema Design</w:t>
      </w:r>
    </w:p>
    <w:p>
      <w:pPr>
        <w:spacing w:after="160" w:line="276"/>
      </w:pPr>
      <w:r>
        <w:rPr>
          <w:rFonts w:ascii="Calibri" w:cs="Calibri" w:eastAsia="Calibri" w:hAnsi="Calibri"/>
          <w:sz w:val="22"/>
          <w:szCs w:val="22"/>
        </w:rPr>
        <w:t xml:space="preserve">Two primary collections back the application: Users and Analyses. The Analysis schema was deliberately designed with flat, typed, top-level fields (language, threatLevel, complexityScore, tokensUsed) in addition to the raw AI response object, specifically so that MongoDB’s aggregation framework could group and filter on them efficiently — querying inside a deeply nested, freeform AI response would be slow and brittle.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4F46E5" w:val="clear"/>
          </w:tcPr>
          <w:p>
            <w:r>
              <w:rPr>
                <w:rFonts w:ascii="Calibri" w:cs="Calibri" w:eastAsia="Calibri" w:hAnsi="Calibri"/>
                <w:b/>
                <w:bCs/>
                <w:color w:val="FFFFFF"/>
                <w:sz w:val="20"/>
                <w:szCs w:val="20"/>
              </w:rPr>
              <w:t xml:space="preserve">Field</w:t>
            </w:r>
          </w:p>
        </w:tc>
        <w:tc>
          <w:tcPr>
            <w:tcW w:type="dxa" w:w="2600"/>
            <w:shd w:fill="4F46E5" w:val="clear"/>
          </w:tcPr>
          <w:p>
            <w:r>
              <w:rPr>
                <w:rFonts w:ascii="Calibri" w:cs="Calibri" w:eastAsia="Calibri" w:hAnsi="Calibri"/>
                <w:b/>
                <w:bCs/>
                <w:color w:val="FFFFFF"/>
                <w:sz w:val="20"/>
                <w:szCs w:val="20"/>
              </w:rPr>
              <w:t xml:space="preserve">Type</w:t>
            </w:r>
          </w:p>
        </w:tc>
        <w:tc>
          <w:tcPr>
            <w:tcW w:type="dxa" w:w="4200"/>
            <w:shd w:fill="4F46E5" w:val="clear"/>
          </w:tcPr>
          <w:p>
            <w:r>
              <w:rPr>
                <w:rFonts w:ascii="Calibri" w:cs="Calibri" w:eastAsia="Calibri" w:hAnsi="Calibri"/>
                <w:b/>
                <w:bCs/>
                <w:color w:val="FFFFFF"/>
                <w:sz w:val="20"/>
                <w:szCs w:val="20"/>
              </w:rPr>
              <w:t xml:space="preserve">Purpose</w:t>
            </w:r>
          </w:p>
        </w:tc>
      </w:tr>
      <w:tr>
        <w:tc>
          <w:tcPr>
            <w:tcW w:type="dxa" w:w="2600"/>
          </w:tcPr>
          <w:p>
            <w:r>
              <w:rPr>
                <w:rFonts w:ascii="Calibri" w:cs="Calibri" w:eastAsia="Calibri" w:hAnsi="Calibri"/>
                <w:sz w:val="20"/>
                <w:szCs w:val="20"/>
              </w:rPr>
              <w:t xml:space="preserve">user</w:t>
            </w:r>
          </w:p>
        </w:tc>
        <w:tc>
          <w:tcPr>
            <w:tcW w:type="dxa" w:w="2600"/>
          </w:tcPr>
          <w:p>
            <w:r>
              <w:rPr>
                <w:rFonts w:ascii="Calibri" w:cs="Calibri" w:eastAsia="Calibri" w:hAnsi="Calibri"/>
                <w:sz w:val="20"/>
                <w:szCs w:val="20"/>
              </w:rPr>
              <w:t xml:space="preserve">ObjectId (ref: User)</w:t>
            </w:r>
          </w:p>
        </w:tc>
        <w:tc>
          <w:tcPr>
            <w:tcW w:type="dxa" w:w="4200"/>
          </w:tcPr>
          <w:p>
            <w:r>
              <w:rPr>
                <w:rFonts w:ascii="Calibri" w:cs="Calibri" w:eastAsia="Calibri" w:hAnsi="Calibri"/>
                <w:sz w:val="20"/>
                <w:szCs w:val="20"/>
              </w:rPr>
              <w:t xml:space="preserve">Owner of the analysis, used to scope every query</w:t>
            </w:r>
          </w:p>
        </w:tc>
      </w:tr>
      <w:tr>
        <w:tc>
          <w:tcPr>
            <w:tcW w:type="dxa" w:w="2600"/>
          </w:tcPr>
          <w:p>
            <w:r>
              <w:rPr>
                <w:rFonts w:ascii="Calibri" w:cs="Calibri" w:eastAsia="Calibri" w:hAnsi="Calibri"/>
                <w:sz w:val="20"/>
                <w:szCs w:val="20"/>
              </w:rPr>
              <w:t xml:space="preserve">type</w:t>
            </w:r>
          </w:p>
        </w:tc>
        <w:tc>
          <w:tcPr>
            <w:tcW w:type="dxa" w:w="2600"/>
          </w:tcPr>
          <w:p>
            <w:r>
              <w:rPr>
                <w:rFonts w:ascii="Calibri" w:cs="Calibri" w:eastAsia="Calibri" w:hAnsi="Calibri"/>
                <w:sz w:val="20"/>
                <w:szCs w:val="20"/>
              </w:rPr>
              <w:t xml:space="preserve">String (enum)</w:t>
            </w:r>
          </w:p>
        </w:tc>
        <w:tc>
          <w:tcPr>
            <w:tcW w:type="dxa" w:w="4200"/>
          </w:tcPr>
          <w:p>
            <w:r>
              <w:rPr>
                <w:rFonts w:ascii="Calibri" w:cs="Calibri" w:eastAsia="Calibri" w:hAnsi="Calibri"/>
                <w:sz w:val="20"/>
                <w:szCs w:val="20"/>
              </w:rPr>
              <w:t xml:space="preserve">"code" or "content" — determines which prompt/schema was used</w:t>
            </w:r>
          </w:p>
        </w:tc>
      </w:tr>
      <w:tr>
        <w:tc>
          <w:tcPr>
            <w:tcW w:type="dxa" w:w="2600"/>
          </w:tcPr>
          <w:p>
            <w:r>
              <w:rPr>
                <w:rFonts w:ascii="Calibri" w:cs="Calibri" w:eastAsia="Calibri" w:hAnsi="Calibri"/>
                <w:sz w:val="20"/>
                <w:szCs w:val="20"/>
              </w:rPr>
              <w:t xml:space="preserve">language</w:t>
            </w:r>
          </w:p>
        </w:tc>
        <w:tc>
          <w:tcPr>
            <w:tcW w:type="dxa" w:w="2600"/>
          </w:tcPr>
          <w:p>
            <w:r>
              <w:rPr>
                <w:rFonts w:ascii="Calibri" w:cs="Calibri" w:eastAsia="Calibri" w:hAnsi="Calibri"/>
                <w:sz w:val="20"/>
                <w:szCs w:val="20"/>
              </w:rPr>
              <w:t xml:space="preserve">String</w:t>
            </w:r>
          </w:p>
        </w:tc>
        <w:tc>
          <w:tcPr>
            <w:tcW w:type="dxa" w:w="4200"/>
          </w:tcPr>
          <w:p>
            <w:r>
              <w:rPr>
                <w:rFonts w:ascii="Calibri" w:cs="Calibri" w:eastAsia="Calibri" w:hAnsi="Calibri"/>
                <w:sz w:val="20"/>
                <w:szCs w:val="20"/>
              </w:rPr>
              <w:t xml:space="preserve">Detected language, powers the language-distribution chart</w:t>
            </w:r>
          </w:p>
        </w:tc>
      </w:tr>
      <w:tr>
        <w:tc>
          <w:tcPr>
            <w:tcW w:type="dxa" w:w="2600"/>
          </w:tcPr>
          <w:p>
            <w:r>
              <w:rPr>
                <w:rFonts w:ascii="Calibri" w:cs="Calibri" w:eastAsia="Calibri" w:hAnsi="Calibri"/>
                <w:sz w:val="20"/>
                <w:szCs w:val="20"/>
              </w:rPr>
              <w:t xml:space="preserve">threatLevel</w:t>
            </w:r>
          </w:p>
        </w:tc>
        <w:tc>
          <w:tcPr>
            <w:tcW w:type="dxa" w:w="2600"/>
          </w:tcPr>
          <w:p>
            <w:r>
              <w:rPr>
                <w:rFonts w:ascii="Calibri" w:cs="Calibri" w:eastAsia="Calibri" w:hAnsi="Calibri"/>
                <w:sz w:val="20"/>
                <w:szCs w:val="20"/>
              </w:rPr>
              <w:t xml:space="preserve">String (enum)</w:t>
            </w:r>
          </w:p>
        </w:tc>
        <w:tc>
          <w:tcPr>
            <w:tcW w:type="dxa" w:w="4200"/>
          </w:tcPr>
          <w:p>
            <w:r>
              <w:rPr>
                <w:rFonts w:ascii="Calibri" w:cs="Calibri" w:eastAsia="Calibri" w:hAnsi="Calibri"/>
                <w:sz w:val="20"/>
                <w:szCs w:val="20"/>
              </w:rPr>
              <w:t xml:space="preserve">Low / Medium / Critical — powers the threat-level bar chart</w:t>
            </w:r>
          </w:p>
        </w:tc>
      </w:tr>
      <w:tr>
        <w:tc>
          <w:tcPr>
            <w:tcW w:type="dxa" w:w="2600"/>
          </w:tcPr>
          <w:p>
            <w:r>
              <w:rPr>
                <w:rFonts w:ascii="Calibri" w:cs="Calibri" w:eastAsia="Calibri" w:hAnsi="Calibri"/>
                <w:sz w:val="20"/>
                <w:szCs w:val="20"/>
              </w:rPr>
              <w:t xml:space="preserve">complexityScore</w:t>
            </w:r>
          </w:p>
        </w:tc>
        <w:tc>
          <w:tcPr>
            <w:tcW w:type="dxa" w:w="2600"/>
          </w:tcPr>
          <w:p>
            <w:r>
              <w:rPr>
                <w:rFonts w:ascii="Calibri" w:cs="Calibri" w:eastAsia="Calibri" w:hAnsi="Calibri"/>
                <w:sz w:val="20"/>
                <w:szCs w:val="20"/>
              </w:rPr>
              <w:t xml:space="preserve">Number</w:t>
            </w:r>
          </w:p>
        </w:tc>
        <w:tc>
          <w:tcPr>
            <w:tcW w:type="dxa" w:w="4200"/>
          </w:tcPr>
          <w:p>
            <w:r>
              <w:rPr>
                <w:rFonts w:ascii="Calibri" w:cs="Calibri" w:eastAsia="Calibri" w:hAnsi="Calibri"/>
                <w:sz w:val="20"/>
                <w:szCs w:val="20"/>
              </w:rPr>
              <w:t xml:space="preserve">Feeds the KPI card and the complexity trend line</w:t>
            </w:r>
          </w:p>
        </w:tc>
      </w:tr>
      <w:tr>
        <w:tc>
          <w:tcPr>
            <w:tcW w:type="dxa" w:w="2600"/>
          </w:tcPr>
          <w:p>
            <w:r>
              <w:rPr>
                <w:rFonts w:ascii="Calibri" w:cs="Calibri" w:eastAsia="Calibri" w:hAnsi="Calibri"/>
                <w:sz w:val="20"/>
                <w:szCs w:val="20"/>
              </w:rPr>
              <w:t xml:space="preserve">tokensUsed</w:t>
            </w:r>
          </w:p>
        </w:tc>
        <w:tc>
          <w:tcPr>
            <w:tcW w:type="dxa" w:w="2600"/>
          </w:tcPr>
          <w:p>
            <w:r>
              <w:rPr>
                <w:rFonts w:ascii="Calibri" w:cs="Calibri" w:eastAsia="Calibri" w:hAnsi="Calibri"/>
                <w:sz w:val="20"/>
                <w:szCs w:val="20"/>
              </w:rPr>
              <w:t xml:space="preserve">Number</w:t>
            </w:r>
          </w:p>
        </w:tc>
        <w:tc>
          <w:tcPr>
            <w:tcW w:type="dxa" w:w="4200"/>
          </w:tcPr>
          <w:p>
            <w:r>
              <w:rPr>
                <w:rFonts w:ascii="Calibri" w:cs="Calibri" w:eastAsia="Calibri" w:hAnsi="Calibri"/>
                <w:sz w:val="20"/>
                <w:szCs w:val="20"/>
              </w:rPr>
              <w:t xml:space="preserve">Gemini token usage, feeds the token-usage KPI and trend line</w:t>
            </w:r>
          </w:p>
        </w:tc>
      </w:tr>
      <w:tr>
        <w:tc>
          <w:tcPr>
            <w:tcW w:type="dxa" w:w="2600"/>
          </w:tcPr>
          <w:p>
            <w:r>
              <w:rPr>
                <w:rFonts w:ascii="Calibri" w:cs="Calibri" w:eastAsia="Calibri" w:hAnsi="Calibri"/>
                <w:sz w:val="20"/>
                <w:szCs w:val="20"/>
              </w:rPr>
              <w:t xml:space="preserve">result</w:t>
            </w:r>
          </w:p>
        </w:tc>
        <w:tc>
          <w:tcPr>
            <w:tcW w:type="dxa" w:w="2600"/>
          </w:tcPr>
          <w:p>
            <w:r>
              <w:rPr>
                <w:rFonts w:ascii="Calibri" w:cs="Calibri" w:eastAsia="Calibri" w:hAnsi="Calibri"/>
                <w:sz w:val="20"/>
                <w:szCs w:val="20"/>
              </w:rPr>
              <w:t xml:space="preserve">Object</w:t>
            </w:r>
          </w:p>
        </w:tc>
        <w:tc>
          <w:tcPr>
            <w:tcW w:type="dxa" w:w="4200"/>
          </w:tcPr>
          <w:p>
            <w:r>
              <w:rPr>
                <w:rFonts w:ascii="Calibri" w:cs="Calibri" w:eastAsia="Calibri" w:hAnsi="Calibri"/>
                <w:sz w:val="20"/>
                <w:szCs w:val="20"/>
              </w:rPr>
              <w:t xml:space="preserve">Full structured AI response, shown in the Analyzer UI</w:t>
            </w:r>
          </w:p>
        </w:tc>
      </w:tr>
      <w:tr>
        <w:tc>
          <w:tcPr>
            <w:tcW w:type="dxa" w:w="2600"/>
          </w:tcPr>
          <w:p>
            <w:r>
              <w:rPr>
                <w:rFonts w:ascii="Calibri" w:cs="Calibri" w:eastAsia="Calibri" w:hAnsi="Calibri"/>
                <w:sz w:val="20"/>
                <w:szCs w:val="20"/>
              </w:rPr>
              <w:t xml:space="preserve">createdAt</w:t>
            </w:r>
          </w:p>
        </w:tc>
        <w:tc>
          <w:tcPr>
            <w:tcW w:type="dxa" w:w="2600"/>
          </w:tcPr>
          <w:p>
            <w:r>
              <w:rPr>
                <w:rFonts w:ascii="Calibri" w:cs="Calibri" w:eastAsia="Calibri" w:hAnsi="Calibri"/>
                <w:sz w:val="20"/>
                <w:szCs w:val="20"/>
              </w:rPr>
              <w:t xml:space="preserve">Date (timestamp)</w:t>
            </w:r>
          </w:p>
        </w:tc>
        <w:tc>
          <w:tcPr>
            <w:tcW w:type="dxa" w:w="4200"/>
          </w:tcPr>
          <w:p>
            <w:r>
              <w:rPr>
                <w:rFonts w:ascii="Calibri" w:cs="Calibri" w:eastAsia="Calibri" w:hAnsi="Calibri"/>
                <w:sz w:val="20"/>
                <w:szCs w:val="20"/>
              </w:rPr>
              <w:t xml:space="preserve">Powers date-range filtering and day-bucketed trend data</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A compound index on { user: 1, createdAt: -1 } was added so that both the per-user scoping (every query is filtered to req.user._id) and the date-range/trend queries — which sort by recency — can be served efficiently as the collection grows.</w:t>
      </w:r>
    </w:p>
    <w:p>
      <w:pPr>
        <w:pStyle w:val="Heading2"/>
        <w:spacing w:after="140" w:before="260"/>
      </w:pPr>
      <w:r>
        <w:rPr>
          <w:rFonts w:ascii="Calibri" w:cs="Calibri" w:eastAsia="Calibri" w:hAnsi="Calibri"/>
          <w:b/>
          <w:bCs/>
          <w:color w:val="4F46E5"/>
        </w:rPr>
        <w:t xml:space="preserve">3.2 Aggregation Pipelines</w:t>
      </w:r>
    </w:p>
    <w:p>
      <w:pPr>
        <w:spacing w:after="160" w:line="276"/>
      </w:pPr>
      <w:r>
        <w:rPr>
          <w:rFonts w:ascii="Calibri" w:cs="Calibri" w:eastAsia="Calibri" w:hAnsi="Calibri"/>
          <w:sz w:val="22"/>
          <w:szCs w:val="22"/>
        </w:rPr>
        <w:t xml:space="preserve">Four aggregation endpoints power the Analytics Dashboard, all sharing a common buildMatchStage(userId, query) helper that turns optional startDate, endDate, and language query parameters into a single $match stage — this keeps every pipeline consistent and avoids duplicating filter logic.</w:t>
      </w:r>
    </w:p>
    <w:p>
      <w:pPr>
        <w:pStyle w:val="ListParagraph"/>
        <w:numPr>
          <w:ilvl w:val="0"/>
          <w:numId w:val="2"/>
        </w:numPr>
        <w:spacing w:after="80"/>
      </w:pPr>
      <w:r>
        <w:rPr>
          <w:rFonts w:ascii="Calibri" w:cs="Calibri" w:eastAsia="Calibri" w:hAnsi="Calibri"/>
          <w:sz w:val="22"/>
          <w:szCs w:val="22"/>
        </w:rPr>
        <w:t xml:space="preserve">GET /api/analytics/summary — a single $group (with _id: null) computing totalScans ($sum), avgComplexity ($avg), totalTokens ($sum), and threatsFound (a $sum with a $cond that counts Medium/Critical entries). This powers the four KPI cards.</w:t>
      </w:r>
    </w:p>
    <w:p>
      <w:pPr>
        <w:pStyle w:val="ListParagraph"/>
        <w:numPr>
          <w:ilvl w:val="0"/>
          <w:numId w:val="2"/>
        </w:numPr>
        <w:spacing w:after="80"/>
      </w:pPr>
      <w:r>
        <w:rPr>
          <w:rFonts w:ascii="Calibri" w:cs="Calibri" w:eastAsia="Calibri" w:hAnsi="Calibri"/>
          <w:sz w:val="22"/>
          <w:szCs w:val="22"/>
        </w:rPr>
        <w:t xml:space="preserve">GET /api/analytics/language-distribution — $group by language, $sort by count descending. Powers the pie chart.</w:t>
      </w:r>
    </w:p>
    <w:p>
      <w:pPr>
        <w:pStyle w:val="ListParagraph"/>
        <w:numPr>
          <w:ilvl w:val="0"/>
          <w:numId w:val="2"/>
        </w:numPr>
        <w:spacing w:after="80"/>
      </w:pPr>
      <w:r>
        <w:rPr>
          <w:rFonts w:ascii="Calibri" w:cs="Calibri" w:eastAsia="Calibri" w:hAnsi="Calibri"/>
          <w:sz w:val="22"/>
          <w:szCs w:val="22"/>
        </w:rPr>
        <w:t xml:space="preserve">GET /api/analytics/threat-levels — $group by threatLevel. Powers the bar chart.</w:t>
      </w:r>
    </w:p>
    <w:p>
      <w:pPr>
        <w:pStyle w:val="ListParagraph"/>
        <w:numPr>
          <w:ilvl w:val="0"/>
          <w:numId w:val="2"/>
        </w:numPr>
        <w:spacing w:after="80"/>
      </w:pPr>
      <w:r>
        <w:rPr>
          <w:rFonts w:ascii="Calibri" w:cs="Calibri" w:eastAsia="Calibri" w:hAnsi="Calibri"/>
          <w:sz w:val="22"/>
          <w:szCs w:val="22"/>
        </w:rPr>
        <w:t xml:space="preserve">GET /api/analytics/trend — $group by day using $dateToString on createdAt, computing avgComplexity, totalTokens, and scans per day, then $sort by date. Powers the line chart.</w:t>
      </w:r>
    </w:p>
    <w:p>
      <w:pPr>
        <w:shd w:fill="F1F5F9" w:val="clear"/>
        <w:spacing w:after="160" w:before="80"/>
      </w:pPr>
      <w:r>
        <w:rPr>
          <w:rFonts w:ascii="Consolas" w:cs="Consolas" w:eastAsia="Consolas" w:hAnsi="Consolas"/>
          <w:color w:val="334155"/>
          <w:sz w:val="20"/>
          <w:szCs w:val="20"/>
        </w:rPr>
        <w:t xml:space="preserve">// Example: summary pipeline
Analysis.aggregate([
  { $match: match },
  { $group: {
      _id: null,
      totalScans: { $sum: 1 },
      avgComplexity: { $avg: '$complexityScore' },
      totalTokens: { $sum: '$tokensUsed' },
      threatsFound: { $sum: { $cond: [
        { $in: ['$threatLevel', ['Medium', 'Critical']] }, 1, 0 ] } },
  }},
]);</w:t>
      </w:r>
    </w:p>
    <w:p>
      <w:pPr>
        <w:spacing w:after="160" w:line="276"/>
      </w:pPr>
      <w:r>
        <w:rPr>
          <w:rFonts w:ascii="Calibri" w:cs="Calibri" w:eastAsia="Calibri" w:hAnsi="Calibri"/>
          <w:sz w:val="22"/>
          <w:szCs w:val="22"/>
        </w:rPr>
        <w:t xml:space="preserve">All four pipelines run through the same protect middleware, so the $match stage always scopes results to the authenticated user — one user can never see another user’s aggregated data, even though the aggregation itself runs server-side across the whole collection.</w:t>
      </w:r>
    </w:p>
    <w:p>
      <w:pPr>
        <w:pStyle w:val="Heading1"/>
        <w:spacing w:after="200" w:before="360"/>
      </w:pPr>
      <w:r>
        <w:rPr>
          <w:rFonts w:ascii="Calibri" w:cs="Calibri" w:eastAsia="Calibri" w:hAnsi="Calibri"/>
          <w:b/>
          <w:bCs/>
          <w:color w:val="1E293B"/>
        </w:rPr>
        <w:t xml:space="preserve">4. AI Integration (Google Gemini API)</w:t>
      </w:r>
    </w:p>
    <w:p>
      <w:pPr>
        <w:spacing w:after="160" w:line="276"/>
      </w:pPr>
      <w:r>
        <w:rPr>
          <w:rFonts w:ascii="Calibri" w:cs="Calibri" w:eastAsia="Calibri" w:hAnsi="Calibri"/>
          <w:sz w:val="22"/>
          <w:szCs w:val="22"/>
        </w:rPr>
        <w:t xml:space="preserve">The analysis feature is powered by the gemini-3.6-flash model via the @google/generative-ai SDK. Two prompt templates (code review and content/SEO review) instruct the model to return a strict JSON object matching a fixed schema, which the backend then parses and stores.</w:t>
      </w:r>
    </w:p>
    <w:p>
      <w:pPr>
        <w:pStyle w:val="Heading2"/>
        <w:spacing w:after="140" w:before="260"/>
      </w:pPr>
      <w:r>
        <w:rPr>
          <w:rFonts w:ascii="Calibri" w:cs="Calibri" w:eastAsia="Calibri" w:hAnsi="Calibri"/>
          <w:b/>
          <w:bCs/>
          <w:color w:val="4F46E5"/>
        </w:rPr>
        <w:t xml:space="preserve">4.1 Reliability Engineering</w:t>
      </w:r>
    </w:p>
    <w:p>
      <w:pPr>
        <w:spacing w:after="160" w:line="276"/>
      </w:pPr>
      <w:r>
        <w:rPr>
          <w:rFonts w:ascii="Calibri" w:cs="Calibri" w:eastAsia="Calibri" w:hAnsi="Calibri"/>
          <w:sz w:val="22"/>
          <w:szCs w:val="22"/>
        </w:rPr>
        <w:t xml:space="preserve">Two real-world failure modes were encountered and solved during development, which shaped the final service design:</w:t>
      </w:r>
    </w:p>
    <w:p>
      <w:pPr>
        <w:pStyle w:val="ListParagraph"/>
        <w:numPr>
          <w:ilvl w:val="0"/>
          <w:numId w:val="2"/>
        </w:numPr>
        <w:spacing w:after="80"/>
      </w:pPr>
      <w:r>
        <w:rPr>
          <w:rFonts w:ascii="Calibri" w:cs="Calibri" w:eastAsia="Calibri" w:hAnsi="Calibri"/>
          <w:sz w:val="22"/>
          <w:szCs w:val="22"/>
        </w:rPr>
        <w:t xml:space="preserve">Transient 503 (Service Unavailable) errors from Gemini under load — solved with an exponential-backoff retry wrapper (retryWithBackoff) around the entire generate-and-parse step, so a temporary overload is retried automatically rather than surfacing as a user-facing error.</w:t>
      </w:r>
    </w:p>
    <w:p>
      <w:pPr>
        <w:pStyle w:val="ListParagraph"/>
        <w:numPr>
          <w:ilvl w:val="0"/>
          <w:numId w:val="2"/>
        </w:numPr>
        <w:spacing w:after="80"/>
      </w:pPr>
      <w:r>
        <w:rPr>
          <w:rFonts w:ascii="Calibri" w:cs="Calibri" w:eastAsia="Calibri" w:hAnsi="Calibri"/>
          <w:sz w:val="22"/>
          <w:szCs w:val="22"/>
        </w:rPr>
        <w:t xml:space="preserve">Occasional model refusals on security-analysis prompts (Gemini would reply with a plain-text apology instead of JSON, likely triggered by phrases like "identify vulnerabilities"). This was fixed by reframing the request using the SDK’s systemInstruction field, explicitly framing the task as a routine, author-authorized static-analysis check — equivalent to a linter — and instructing the model to express any concerns inside the JSON schema itself (as a threatLevel) rather than as a refusal.</w:t>
      </w:r>
    </w:p>
    <w:p>
      <w:pPr>
        <w:pStyle w:val="Heading2"/>
        <w:spacing w:after="140" w:before="260"/>
      </w:pPr>
      <w:r>
        <w:rPr>
          <w:rFonts w:ascii="Calibri" w:cs="Calibri" w:eastAsia="Calibri" w:hAnsi="Calibri"/>
          <w:b/>
          <w:bCs/>
          <w:color w:val="4F46E5"/>
        </w:rPr>
        <w:t xml:space="preserve">4.2 Structured Output Contract</w:t>
      </w:r>
    </w:p>
    <w:p>
      <w:pPr>
        <w:spacing w:after="160" w:line="276"/>
      </w:pPr>
      <w:r>
        <w:rPr>
          <w:rFonts w:ascii="Calibri" w:cs="Calibri" w:eastAsia="Calibri" w:hAnsi="Calibri"/>
          <w:sz w:val="22"/>
          <w:szCs w:val="22"/>
        </w:rPr>
        <w:t xml:space="preserve">The code-analysis prompt requires the model to return: language, performanceIssues[], securityVulnerabilities[], suggestions[], overallScore (0–10), complexityScore (0–10), and threatLevel (Low/Medium/Critical). The content-analysis prompt returns an analogous SEO-focused schema (readabilityScore, seoSuggestions[], keywordOpportunities[], improvementAreas[]). Token usage is read from the SDK’s usageMetadata.totalTokenCount and stored alongside the result for the analytics layer.</w:t>
      </w:r>
    </w:p>
    <w:p>
      <w:pPr>
        <w:pStyle w:val="Heading1"/>
        <w:spacing w:after="200" w:before="360"/>
      </w:pPr>
      <w:r>
        <w:rPr>
          <w:rFonts w:ascii="Calibri" w:cs="Calibri" w:eastAsia="Calibri" w:hAnsi="Calibri"/>
          <w:b/>
          <w:bCs/>
          <w:color w:val="1E293B"/>
        </w:rPr>
        <w:t xml:space="preserve">5. Chart.js / Recharts Implementation &amp; Data Visualization Principles</w:t>
      </w:r>
    </w:p>
    <w:p>
      <w:pPr>
        <w:spacing w:after="160" w:line="276"/>
      </w:pPr>
      <w:r>
        <w:rPr>
          <w:rFonts w:ascii="Calibri" w:cs="Calibri" w:eastAsia="Calibri" w:hAnsi="Calibri"/>
          <w:sz w:val="22"/>
          <w:szCs w:val="22"/>
        </w:rPr>
        <w:t xml:space="preserve">The Analytics Dashboard uses Recharts, a composable charting library built on React and D3, to render three complementary chart types — deliberately chosen so each answers a different analytical question rather than repeating the same 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200"/>
      </w:tblGrid>
      <w:tr>
        <w:trPr>
          <w:tblHeader/>
        </w:trPr>
        <w:tc>
          <w:tcPr>
            <w:tcW w:type="dxa" w:w="3200"/>
            <w:shd w:fill="4F46E5" w:val="clear"/>
          </w:tcPr>
          <w:p>
            <w:r>
              <w:rPr>
                <w:rFonts w:ascii="Calibri" w:cs="Calibri" w:eastAsia="Calibri" w:hAnsi="Calibri"/>
                <w:b/>
                <w:bCs/>
                <w:color w:val="FFFFFF"/>
                <w:sz w:val="20"/>
                <w:szCs w:val="20"/>
              </w:rPr>
              <w:t xml:space="preserve">Chart</w:t>
            </w:r>
          </w:p>
        </w:tc>
        <w:tc>
          <w:tcPr>
            <w:tcW w:type="dxa" w:w="2000"/>
            <w:shd w:fill="4F46E5" w:val="clear"/>
          </w:tcPr>
          <w:p>
            <w:r>
              <w:rPr>
                <w:rFonts w:ascii="Calibri" w:cs="Calibri" w:eastAsia="Calibri" w:hAnsi="Calibri"/>
                <w:b/>
                <w:bCs/>
                <w:color w:val="FFFFFF"/>
                <w:sz w:val="20"/>
                <w:szCs w:val="20"/>
              </w:rPr>
              <w:t xml:space="preserve">Type</w:t>
            </w:r>
          </w:p>
        </w:tc>
        <w:tc>
          <w:tcPr>
            <w:tcW w:type="dxa" w:w="4200"/>
            <w:shd w:fill="4F46E5" w:val="clear"/>
          </w:tcPr>
          <w:p>
            <w:r>
              <w:rPr>
                <w:rFonts w:ascii="Calibri" w:cs="Calibri" w:eastAsia="Calibri" w:hAnsi="Calibri"/>
                <w:b/>
                <w:bCs/>
                <w:color w:val="FFFFFF"/>
                <w:sz w:val="20"/>
                <w:szCs w:val="20"/>
              </w:rPr>
              <w:t xml:space="preserve">Question it answers</w:t>
            </w:r>
          </w:p>
        </w:tc>
      </w:tr>
      <w:tr>
        <w:tc>
          <w:tcPr>
            <w:tcW w:type="dxa" w:w="3200"/>
          </w:tcPr>
          <w:p>
            <w:r>
              <w:rPr>
                <w:rFonts w:ascii="Calibri" w:cs="Calibri" w:eastAsia="Calibri" w:hAnsi="Calibri"/>
                <w:sz w:val="20"/>
                <w:szCs w:val="20"/>
              </w:rPr>
              <w:t xml:space="preserve">Language Distribution</w:t>
            </w:r>
          </w:p>
        </w:tc>
        <w:tc>
          <w:tcPr>
            <w:tcW w:type="dxa" w:w="2000"/>
          </w:tcPr>
          <w:p>
            <w:r>
              <w:rPr>
                <w:rFonts w:ascii="Calibri" w:cs="Calibri" w:eastAsia="Calibri" w:hAnsi="Calibri"/>
                <w:sz w:val="20"/>
                <w:szCs w:val="20"/>
              </w:rPr>
              <w:t xml:space="preserve">Pie / Doughnut</w:t>
            </w:r>
          </w:p>
        </w:tc>
        <w:tc>
          <w:tcPr>
            <w:tcW w:type="dxa" w:w="4200"/>
          </w:tcPr>
          <w:p>
            <w:r>
              <w:rPr>
                <w:rFonts w:ascii="Calibri" w:cs="Calibri" w:eastAsia="Calibri" w:hAnsi="Calibri"/>
                <w:sz w:val="20"/>
                <w:szCs w:val="20"/>
              </w:rPr>
              <w:t xml:space="preserve">What languages am I analyzing most?</w:t>
            </w:r>
          </w:p>
        </w:tc>
      </w:tr>
      <w:tr>
        <w:tc>
          <w:tcPr>
            <w:tcW w:type="dxa" w:w="3200"/>
          </w:tcPr>
          <w:p>
            <w:r>
              <w:rPr>
                <w:rFonts w:ascii="Calibri" w:cs="Calibri" w:eastAsia="Calibri" w:hAnsi="Calibri"/>
                <w:sz w:val="20"/>
                <w:szCs w:val="20"/>
              </w:rPr>
              <w:t xml:space="preserve">Threat Levels</w:t>
            </w:r>
          </w:p>
        </w:tc>
        <w:tc>
          <w:tcPr>
            <w:tcW w:type="dxa" w:w="2000"/>
          </w:tcPr>
          <w:p>
            <w:r>
              <w:rPr>
                <w:rFonts w:ascii="Calibri" w:cs="Calibri" w:eastAsia="Calibri" w:hAnsi="Calibri"/>
                <w:sz w:val="20"/>
                <w:szCs w:val="20"/>
              </w:rPr>
              <w:t xml:space="preserve">Bar</w:t>
            </w:r>
          </w:p>
        </w:tc>
        <w:tc>
          <w:tcPr>
            <w:tcW w:type="dxa" w:w="4200"/>
          </w:tcPr>
          <w:p>
            <w:r>
              <w:rPr>
                <w:rFonts w:ascii="Calibri" w:cs="Calibri" w:eastAsia="Calibri" w:hAnsi="Calibri"/>
                <w:sz w:val="20"/>
                <w:szCs w:val="20"/>
              </w:rPr>
              <w:t xml:space="preserve">How severe are the issues being found, and how often?</w:t>
            </w:r>
          </w:p>
        </w:tc>
      </w:tr>
      <w:tr>
        <w:tc>
          <w:tcPr>
            <w:tcW w:type="dxa" w:w="3200"/>
          </w:tcPr>
          <w:p>
            <w:r>
              <w:rPr>
                <w:rFonts w:ascii="Calibri" w:cs="Calibri" w:eastAsia="Calibri" w:hAnsi="Calibri"/>
                <w:sz w:val="20"/>
                <w:szCs w:val="20"/>
              </w:rPr>
              <w:t xml:space="preserve">Complexity &amp; Token Trend</w:t>
            </w:r>
          </w:p>
        </w:tc>
        <w:tc>
          <w:tcPr>
            <w:tcW w:type="dxa" w:w="2000"/>
          </w:tcPr>
          <w:p>
            <w:r>
              <w:rPr>
                <w:rFonts w:ascii="Calibri" w:cs="Calibri" w:eastAsia="Calibri" w:hAnsi="Calibri"/>
                <w:sz w:val="20"/>
                <w:szCs w:val="20"/>
              </w:rPr>
              <w:t xml:space="preserve">Line (dual series)</w:t>
            </w:r>
          </w:p>
        </w:tc>
        <w:tc>
          <w:tcPr>
            <w:tcW w:type="dxa" w:w="4200"/>
          </w:tcPr>
          <w:p>
            <w:r>
              <w:rPr>
                <w:rFonts w:ascii="Calibri" w:cs="Calibri" w:eastAsia="Calibri" w:hAnsi="Calibri"/>
                <w:sz w:val="20"/>
                <w:szCs w:val="20"/>
              </w:rPr>
              <w:t xml:space="preserve">Is code quality and API cost trending up or down over time?</w:t>
            </w:r>
          </w:p>
        </w:tc>
      </w:tr>
    </w:tbl>
    <w:p>
      <w:pPr>
        <w:spacing w:after="160" w:line="276"/>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4F46E5"/>
        </w:rPr>
        <w:t xml:space="preserve">5.1 Design Principles Applied</w:t>
      </w:r>
    </w:p>
    <w:p>
      <w:pPr>
        <w:pStyle w:val="ListParagraph"/>
        <w:numPr>
          <w:ilvl w:val="0"/>
          <w:numId w:val="2"/>
        </w:numPr>
        <w:spacing w:after="80"/>
      </w:pPr>
      <w:r>
        <w:rPr>
          <w:rFonts w:ascii="Calibri" w:cs="Calibri" w:eastAsia="Calibri" w:hAnsi="Calibri"/>
          <w:sz w:val="22"/>
          <w:szCs w:val="22"/>
        </w:rPr>
        <w:t xml:space="preserve">Consistency: every chart shares the same dark theme, color palette, and tooltip styling so the dashboard reads as one system rather than three bolted-together widgets.</w:t>
      </w:r>
    </w:p>
    <w:p>
      <w:pPr>
        <w:pStyle w:val="ListParagraph"/>
        <w:numPr>
          <w:ilvl w:val="0"/>
          <w:numId w:val="2"/>
        </w:numPr>
        <w:spacing w:after="80"/>
      </w:pPr>
      <w:r>
        <w:rPr>
          <w:rFonts w:ascii="Calibri" w:cs="Calibri" w:eastAsia="Calibri" w:hAnsi="Calibri"/>
          <w:sz w:val="22"/>
          <w:szCs w:val="22"/>
        </w:rPr>
        <w:t xml:space="preserve">Progressive disclosure: KPI cards give the at-a-glance answer; charts are one level deeper for anyone who wants the breakdown; the raw Analyzer result cards are a further level deeper still.</w:t>
      </w:r>
    </w:p>
    <w:p>
      <w:pPr>
        <w:pStyle w:val="ListParagraph"/>
        <w:numPr>
          <w:ilvl w:val="0"/>
          <w:numId w:val="2"/>
        </w:numPr>
        <w:spacing w:after="80"/>
      </w:pPr>
      <w:r>
        <w:rPr>
          <w:rFonts w:ascii="Calibri" w:cs="Calibri" w:eastAsia="Calibri" w:hAnsi="Calibri"/>
          <w:sz w:val="22"/>
          <w:szCs w:val="22"/>
        </w:rPr>
        <w:t xml:space="preserve">Empty-state handling: every chart checks for zero data and shows a clear "No data yet" message instead of an empty axis, which avoids the "is this broken?" confusion new users often hit.</w:t>
      </w:r>
    </w:p>
    <w:p>
      <w:pPr>
        <w:pStyle w:val="ListParagraph"/>
        <w:numPr>
          <w:ilvl w:val="0"/>
          <w:numId w:val="2"/>
        </w:numPr>
        <w:spacing w:after="80"/>
      </w:pPr>
      <w:r>
        <w:rPr>
          <w:rFonts w:ascii="Calibri" w:cs="Calibri" w:eastAsia="Calibri" w:hAnsi="Calibri"/>
          <w:sz w:val="22"/>
          <w:szCs w:val="22"/>
        </w:rPr>
        <w:t xml:space="preserve">Responsive containers: all charts are wrapped in Recharts’ ResponsiveContainer so the dashboard is usable on both desktop and narrower viewports.</w:t>
      </w:r>
    </w:p>
    <w:p>
      <w:pPr>
        <w:pStyle w:val="Heading2"/>
        <w:spacing w:after="140" w:before="260"/>
      </w:pPr>
      <w:r>
        <w:rPr>
          <w:rFonts w:ascii="Calibri" w:cs="Calibri" w:eastAsia="Calibri" w:hAnsi="Calibri"/>
          <w:b/>
          <w:bCs/>
          <w:color w:val="4F46E5"/>
        </w:rPr>
        <w:t xml:space="preserve">5.2 Filtering</w:t>
      </w:r>
    </w:p>
    <w:p>
      <w:pPr>
        <w:spacing w:after="160" w:line="276"/>
      </w:pPr>
      <w:r>
        <w:rPr>
          <w:rFonts w:ascii="Calibri" w:cs="Calibri" w:eastAsia="Calibri" w:hAnsi="Calibri"/>
          <w:sz w:val="22"/>
          <w:szCs w:val="22"/>
        </w:rPr>
        <w:t xml:space="preserve">Date-range (start/end) and language filters sit above the chart grid and are sent as query parameters to all four analytics endpoints simultaneously (via Promise.all), so changing a filter refreshes the KPI cards and all three charts together — keeping every visualization consistent with the same underlying filtered dataset.</w:t>
      </w:r>
    </w:p>
    <w:p>
      <w:pPr>
        <w:pStyle w:val="Heading1"/>
        <w:spacing w:after="200" w:before="360"/>
      </w:pPr>
      <w:r>
        <w:rPr>
          <w:rFonts w:ascii="Calibri" w:cs="Calibri" w:eastAsia="Calibri" w:hAnsi="Calibri"/>
          <w:b/>
          <w:bCs/>
          <w:color w:val="1E293B"/>
        </w:rPr>
        <w:t xml:space="preserve">6. Widget System (Customizable Dashboard)</w:t>
      </w:r>
    </w:p>
    <w:p>
      <w:pPr>
        <w:spacing w:after="160" w:line="276"/>
      </w:pPr>
      <w:r>
        <w:rPr>
          <w:rFonts w:ascii="Calibri" w:cs="Calibri" w:eastAsia="Calibri" w:hAnsi="Calibri"/>
          <w:sz w:val="22"/>
          <w:szCs w:val="22"/>
        </w:rPr>
        <w:t xml:space="preserve">To satisfy the "customizable/toggleable widgets" requirement, each of the three charts is wrapped in a boolean visibility flag held in a visibleWidgets state object ({ language, threat, trend }). A row of checkboxes lets the user show or hide each chart independently; the underlying data fetch is unaffected, so toggling a widget is instant and does not require a new network request.</w:t>
      </w:r>
    </w:p>
    <w:p>
      <w:pPr>
        <w:shd w:fill="F1F5F9" w:val="clear"/>
        <w:spacing w:after="160" w:before="80"/>
      </w:pPr>
      <w:r>
        <w:rPr>
          <w:rFonts w:ascii="Consolas" w:cs="Consolas" w:eastAsia="Consolas" w:hAnsi="Consolas"/>
          <w:color w:val="334155"/>
          <w:sz w:val="20"/>
          <w:szCs w:val="20"/>
        </w:rPr>
        <w:t xml:space="preserve">const [visibleWidgets, setVisibleWidgets] = useState({
  language: true, threat: true, trend: true,
});
const toggleWidget = (key) =&gt;
  setVisibleWidgets((prev) =&gt; ({ ...prev, [key]: !prev[key] }));
// usage: {visibleWidgets.language &amp;&amp; ( &lt;LanguageChart /&gt; )}</w:t>
      </w:r>
    </w:p>
    <w:p>
      <w:pPr>
        <w:spacing w:after="160" w:line="276"/>
      </w:pPr>
      <w:r>
        <w:rPr>
          <w:rFonts w:ascii="Calibri" w:cs="Calibri" w:eastAsia="Calibri" w:hAnsi="Calibri"/>
          <w:sz w:val="22"/>
          <w:szCs w:val="22"/>
        </w:rPr>
        <w:t xml:space="preserve">This pattern was chosen over a more complex drag-and-drop library because it fully satisfies the functional requirement (the user controls which widgets are visible) while keeping the implementation simple and bug-free under time constraints — a deliberate scope trade-off documented here for transparency.</w:t>
      </w:r>
    </w:p>
    <w:p>
      <w:pPr>
        <w:pStyle w:val="Heading1"/>
        <w:spacing w:after="200" w:before="360"/>
      </w:pPr>
      <w:r>
        <w:rPr>
          <w:rFonts w:ascii="Calibri" w:cs="Calibri" w:eastAsia="Calibri" w:hAnsi="Calibri"/>
          <w:b/>
          <w:bCs/>
          <w:color w:val="1E293B"/>
        </w:rPr>
        <w:t xml:space="preserve">7. Security &amp; Authentication</w:t>
      </w:r>
    </w:p>
    <w:p>
      <w:pPr>
        <w:pStyle w:val="Heading2"/>
        <w:spacing w:after="140" w:before="260"/>
      </w:pPr>
      <w:r>
        <w:rPr>
          <w:rFonts w:ascii="Calibri" w:cs="Calibri" w:eastAsia="Calibri" w:hAnsi="Calibri"/>
          <w:b/>
          <w:bCs/>
          <w:color w:val="4F46E5"/>
        </w:rPr>
        <w:t xml:space="preserve">7.1 Authentication</w:t>
      </w:r>
    </w:p>
    <w:p>
      <w:pPr>
        <w:pStyle w:val="ListParagraph"/>
        <w:numPr>
          <w:ilvl w:val="0"/>
          <w:numId w:val="2"/>
        </w:numPr>
        <w:spacing w:after="80"/>
      </w:pPr>
      <w:r>
        <w:rPr>
          <w:rFonts w:ascii="Calibri" w:cs="Calibri" w:eastAsia="Calibri" w:hAnsi="Calibri"/>
          <w:sz w:val="22"/>
          <w:szCs w:val="22"/>
        </w:rPr>
        <w:t xml:space="preserve">Passwords are hashed with bcrypt (salt rounds: 10) before being stored — plaintext passwords are never persisted.</w:t>
      </w:r>
    </w:p>
    <w:p>
      <w:pPr>
        <w:pStyle w:val="ListParagraph"/>
        <w:numPr>
          <w:ilvl w:val="0"/>
          <w:numId w:val="2"/>
        </w:numPr>
        <w:spacing w:after="80"/>
      </w:pPr>
      <w:r>
        <w:rPr>
          <w:rFonts w:ascii="Calibri" w:cs="Calibri" w:eastAsia="Calibri" w:hAnsi="Calibri"/>
          <w:sz w:val="22"/>
          <w:szCs w:val="22"/>
        </w:rPr>
        <w:t xml:space="preserve">JWT tokens are issued on login/register (7-day expiry) and verified on every protected route via an authMiddleware that attaches the authenticated user to req.user.</w:t>
      </w:r>
    </w:p>
    <w:p>
      <w:pPr>
        <w:pStyle w:val="ListParagraph"/>
        <w:numPr>
          <w:ilvl w:val="0"/>
          <w:numId w:val="2"/>
        </w:numPr>
        <w:spacing w:after="80"/>
      </w:pPr>
      <w:r>
        <w:rPr>
          <w:rFonts w:ascii="Calibri" w:cs="Calibri" w:eastAsia="Calibri" w:hAnsi="Calibri"/>
          <w:sz w:val="22"/>
          <w:szCs w:val="22"/>
        </w:rPr>
        <w:t xml:space="preserve">The frontend stores the JWT in localStorage and attaches it as a Bearer token via an axios request interceptor, so protected API calls are authenticated automatically.</w:t>
      </w:r>
    </w:p>
    <w:p>
      <w:pPr>
        <w:pStyle w:val="Heading2"/>
        <w:spacing w:after="140" w:before="260"/>
      </w:pPr>
      <w:r>
        <w:rPr>
          <w:rFonts w:ascii="Calibri" w:cs="Calibri" w:eastAsia="Calibri" w:hAnsi="Calibri"/>
          <w:b/>
          <w:bCs/>
          <w:color w:val="4F46E5"/>
        </w:rPr>
        <w:t xml:space="preserve">7.2 API Protection</w:t>
      </w:r>
    </w:p>
    <w:p>
      <w:pPr>
        <w:pStyle w:val="ListParagraph"/>
        <w:numPr>
          <w:ilvl w:val="0"/>
          <w:numId w:val="2"/>
        </w:numPr>
        <w:spacing w:after="80"/>
      </w:pPr>
      <w:r>
        <w:rPr>
          <w:rFonts w:ascii="Calibri" w:cs="Calibri" w:eastAsia="Calibri" w:hAnsi="Calibri"/>
          <w:sz w:val="22"/>
          <w:szCs w:val="22"/>
        </w:rPr>
        <w:t xml:space="preserve">Free-tier rate limiting: a checkAnalysisLimit middleware caps non-paid users to 3 AI analyses per day, tracked via analysesUsedToday and lastAnalysisDate fields on the User document, resetting automatically when a new calendar day is detected.</w:t>
      </w:r>
    </w:p>
    <w:p>
      <w:pPr>
        <w:pStyle w:val="ListParagraph"/>
        <w:numPr>
          <w:ilvl w:val="0"/>
          <w:numId w:val="2"/>
        </w:numPr>
        <w:spacing w:after="80"/>
      </w:pPr>
      <w:r>
        <w:rPr>
          <w:rFonts w:ascii="Calibri" w:cs="Calibri" w:eastAsia="Calibri" w:hAnsi="Calibri"/>
          <w:sz w:val="22"/>
          <w:szCs w:val="22"/>
        </w:rPr>
        <w:t xml:space="preserve">Every analytics and analysis route is scoped to req.user._id at the database query level, so no user can read another user’s data even by guessing IDs.</w:t>
      </w:r>
    </w:p>
    <w:p>
      <w:pPr>
        <w:pStyle w:val="ListParagraph"/>
        <w:numPr>
          <w:ilvl w:val="0"/>
          <w:numId w:val="2"/>
        </w:numPr>
        <w:spacing w:after="80"/>
      </w:pPr>
      <w:r>
        <w:rPr>
          <w:rFonts w:ascii="Calibri" w:cs="Calibri" w:eastAsia="Calibri" w:hAnsi="Calibri"/>
          <w:sz w:val="22"/>
          <w:szCs w:val="22"/>
        </w:rPr>
        <w:t xml:space="preserve">CORS is restricted in production to the deployed frontend origin rather than left open to all origins.</w:t>
      </w:r>
    </w:p>
    <w:p>
      <w:pPr>
        <w:pStyle w:val="Heading2"/>
        <w:spacing w:after="140" w:before="260"/>
      </w:pPr>
      <w:r>
        <w:rPr>
          <w:rFonts w:ascii="Calibri" w:cs="Calibri" w:eastAsia="Calibri" w:hAnsi="Calibri"/>
          <w:b/>
          <w:bCs/>
          <w:color w:val="4F46E5"/>
        </w:rPr>
        <w:t xml:space="preserve">7.3 Code-Level Security Findings Surfaced by the Tool Itself</w:t>
      </w:r>
    </w:p>
    <w:p>
      <w:pPr>
        <w:spacing w:after="160" w:line="276"/>
      </w:pPr>
      <w:r>
        <w:rPr>
          <w:rFonts w:ascii="Calibri" w:cs="Calibri" w:eastAsia="Calibri" w:hAnsi="Calibri"/>
          <w:sz w:val="22"/>
          <w:szCs w:val="22"/>
        </w:rPr>
        <w:t xml:space="preserve">As a demonstration of the product working correctly, test runs against intentionally vulnerable sample code correctly surfaced SQL-injection risks from string-concatenated queries, hardcoded credentials/API keys, and O(n²) algorithmic complexity — confirming the AI pipeline produces genuinely useful, specific findings rather than generic boilerplate advice.</w:t>
      </w:r>
    </w:p>
    <w:p>
      <w:pPr>
        <w:pStyle w:val="Heading1"/>
        <w:spacing w:after="200" w:before="360"/>
      </w:pPr>
      <w:r>
        <w:rPr>
          <w:rFonts w:ascii="Calibri" w:cs="Calibri" w:eastAsia="Calibri" w:hAnsi="Calibri"/>
          <w:b/>
          <w:bCs/>
          <w:color w:val="1E293B"/>
        </w:rPr>
        <w:t xml:space="preserve">8. Deployment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600"/>
      </w:tblGrid>
      <w:tr>
        <w:trPr>
          <w:tblHeader/>
        </w:trPr>
        <w:tc>
          <w:tcPr>
            <w:tcW w:type="dxa" w:w="3200"/>
            <w:shd w:fill="4F46E5" w:val="clear"/>
          </w:tcPr>
          <w:p>
            <w:r>
              <w:rPr>
                <w:rFonts w:ascii="Calibri" w:cs="Calibri" w:eastAsia="Calibri" w:hAnsi="Calibri"/>
                <w:b/>
                <w:bCs/>
                <w:color w:val="FFFFFF"/>
                <w:sz w:val="20"/>
                <w:szCs w:val="20"/>
              </w:rPr>
              <w:t xml:space="preserve">Component</w:t>
            </w:r>
          </w:p>
        </w:tc>
        <w:tc>
          <w:tcPr>
            <w:tcW w:type="dxa" w:w="3600"/>
            <w:shd w:fill="4F46E5" w:val="clear"/>
          </w:tcPr>
          <w:p>
            <w:r>
              <w:rPr>
                <w:rFonts w:ascii="Calibri" w:cs="Calibri" w:eastAsia="Calibri" w:hAnsi="Calibri"/>
                <w:b/>
                <w:bCs/>
                <w:color w:val="FFFFFF"/>
                <w:sz w:val="20"/>
                <w:szCs w:val="20"/>
              </w:rPr>
              <w:t xml:space="preserve">Platform</w:t>
            </w:r>
          </w:p>
        </w:tc>
        <w:tc>
          <w:tcPr>
            <w:tcW w:type="dxa" w:w="3600"/>
            <w:shd w:fill="4F46E5" w:val="clear"/>
          </w:tcPr>
          <w:p>
            <w:r>
              <w:rPr>
                <w:rFonts w:ascii="Calibri" w:cs="Calibri" w:eastAsia="Calibri" w:hAnsi="Calibri"/>
                <w:b/>
                <w:bCs/>
                <w:color w:val="FFFFFF"/>
                <w:sz w:val="20"/>
                <w:szCs w:val="20"/>
              </w:rPr>
              <w:t xml:space="preserve">Notes</w:t>
            </w:r>
          </w:p>
        </w:tc>
      </w:tr>
      <w:tr>
        <w:tc>
          <w:tcPr>
            <w:tcW w:type="dxa" w:w="3200"/>
          </w:tcPr>
          <w:p>
            <w:r>
              <w:rPr>
                <w:rFonts w:ascii="Calibri" w:cs="Calibri" w:eastAsia="Calibri" w:hAnsi="Calibri"/>
                <w:sz w:val="20"/>
                <w:szCs w:val="20"/>
              </w:rPr>
              <w:t xml:space="preserve">Backend (Express API)</w:t>
            </w:r>
          </w:p>
        </w:tc>
        <w:tc>
          <w:tcPr>
            <w:tcW w:type="dxa" w:w="3600"/>
          </w:tcPr>
          <w:p>
            <w:r>
              <w:rPr>
                <w:rFonts w:ascii="Calibri" w:cs="Calibri" w:eastAsia="Calibri" w:hAnsi="Calibri"/>
                <w:sz w:val="20"/>
                <w:szCs w:val="20"/>
              </w:rPr>
              <w:t xml:space="preserve">Render (Free tier, Singapore region)</w:t>
            </w:r>
          </w:p>
        </w:tc>
        <w:tc>
          <w:tcPr>
            <w:tcW w:type="dxa" w:w="3600"/>
          </w:tcPr>
          <w:p>
            <w:r>
              <w:rPr>
                <w:rFonts w:ascii="Calibri" w:cs="Calibri" w:eastAsia="Calibri" w:hAnsi="Calibri"/>
                <w:sz w:val="20"/>
                <w:szCs w:val="20"/>
              </w:rPr>
              <w:t xml:space="preserve">Auto-deploys on push to main; environment variables hold MONGO_URI, JWT_SECRET, GEMINI_API_KEY</w:t>
            </w:r>
          </w:p>
        </w:tc>
      </w:tr>
      <w:tr>
        <w:tc>
          <w:tcPr>
            <w:tcW w:type="dxa" w:w="3200"/>
          </w:tcPr>
          <w:p>
            <w:r>
              <w:rPr>
                <w:rFonts w:ascii="Calibri" w:cs="Calibri" w:eastAsia="Calibri" w:hAnsi="Calibri"/>
                <w:sz w:val="20"/>
                <w:szCs w:val="20"/>
              </w:rPr>
              <w:t xml:space="preserve">Frontend (React/Vite)</w:t>
            </w:r>
          </w:p>
        </w:tc>
        <w:tc>
          <w:tcPr>
            <w:tcW w:type="dxa" w:w="3600"/>
          </w:tcPr>
          <w:p>
            <w:r>
              <w:rPr>
                <w:rFonts w:ascii="Calibri" w:cs="Calibri" w:eastAsia="Calibri" w:hAnsi="Calibri"/>
                <w:sz w:val="20"/>
                <w:szCs w:val="20"/>
              </w:rPr>
              <w:t xml:space="preserve">Vercel</w:t>
            </w:r>
          </w:p>
        </w:tc>
        <w:tc>
          <w:tcPr>
            <w:tcW w:type="dxa" w:w="3600"/>
          </w:tcPr>
          <w:p>
            <w:r>
              <w:rPr>
                <w:rFonts w:ascii="Calibri" w:cs="Calibri" w:eastAsia="Calibri" w:hAnsi="Calibri"/>
                <w:sz w:val="20"/>
                <w:szCs w:val="20"/>
              </w:rPr>
              <w:t xml:space="preserve">Root directory set to /frontend; VITE_API_URL environment variable points to the Render backend</w:t>
            </w:r>
          </w:p>
        </w:tc>
      </w:tr>
      <w:tr>
        <w:tc>
          <w:tcPr>
            <w:tcW w:type="dxa" w:w="3200"/>
          </w:tcPr>
          <w:p>
            <w:r>
              <w:rPr>
                <w:rFonts w:ascii="Calibri" w:cs="Calibri" w:eastAsia="Calibri" w:hAnsi="Calibri"/>
                <w:sz w:val="20"/>
                <w:szCs w:val="20"/>
              </w:rPr>
              <w:t xml:space="preserve">Database</w:t>
            </w:r>
          </w:p>
        </w:tc>
        <w:tc>
          <w:tcPr>
            <w:tcW w:type="dxa" w:w="3600"/>
          </w:tcPr>
          <w:p>
            <w:r>
              <w:rPr>
                <w:rFonts w:ascii="Calibri" w:cs="Calibri" w:eastAsia="Calibri" w:hAnsi="Calibri"/>
                <w:sz w:val="20"/>
                <w:szCs w:val="20"/>
              </w:rPr>
              <w:t xml:space="preserve">MongoDB Atlas (cloud, free tier)</w:t>
            </w:r>
          </w:p>
        </w:tc>
        <w:tc>
          <w:tcPr>
            <w:tcW w:type="dxa" w:w="3600"/>
          </w:tcPr>
          <w:p>
            <w:r>
              <w:rPr>
                <w:rFonts w:ascii="Calibri" w:cs="Calibri" w:eastAsia="Calibri" w:hAnsi="Calibri"/>
                <w:sz w:val="20"/>
                <w:szCs w:val="20"/>
              </w:rPr>
              <w:t xml:space="preserve">Network access configured for 0.0.0.0/0 so both local dev and Render can connect</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One deployment-specific issue was diagnosed and fixed during this phase: the PDF/image export feature relied on html2canvas, which cannot parse the oklch() CSS color functions generated by Tailwind CSS v4. The fix was to replace html2canvas with html-to-image, a more actively maintained library with correct support for modern CSS color spaces, while keeping jsPDF for the final PDF assembly step.</w:t>
      </w:r>
    </w:p>
    <w:p>
      <w:pPr>
        <w:pStyle w:val="Heading1"/>
        <w:spacing w:after="200" w:before="360"/>
      </w:pPr>
      <w:r>
        <w:rPr>
          <w:rFonts w:ascii="Calibri" w:cs="Calibri" w:eastAsia="Calibri" w:hAnsi="Calibri"/>
          <w:b/>
          <w:bCs/>
          <w:color w:val="1E293B"/>
        </w:rPr>
        <w:t xml:space="preserve">9. Challenges &amp; Key Learnings</w:t>
      </w:r>
    </w:p>
    <w:p>
      <w:pPr>
        <w:pStyle w:val="ListParagraph"/>
        <w:numPr>
          <w:ilvl w:val="0"/>
          <w:numId w:val="2"/>
        </w:numPr>
        <w:spacing w:after="80"/>
      </w:pPr>
      <w:r>
        <w:rPr>
          <w:rFonts w:ascii="Calibri" w:cs="Calibri" w:eastAsia="Calibri" w:hAnsi="Calibri"/>
          <w:sz w:val="22"/>
          <w:szCs w:val="22"/>
        </w:rPr>
        <w:t xml:space="preserve">Model/API drift: the Gemini model name used at the start of the project (gemini-1.5-flash) was deprecated mid-build, surfacing as a 404. This reinforced the value of centralizing the model name in one service file rather than hardcoding it in multiple places.</w:t>
      </w:r>
    </w:p>
    <w:p>
      <w:pPr>
        <w:pStyle w:val="ListParagraph"/>
        <w:numPr>
          <w:ilvl w:val="0"/>
          <w:numId w:val="2"/>
        </w:numPr>
        <w:spacing w:after="80"/>
      </w:pPr>
      <w:r>
        <w:rPr>
          <w:rFonts w:ascii="Calibri" w:cs="Calibri" w:eastAsia="Calibri" w:hAnsi="Calibri"/>
          <w:sz w:val="22"/>
          <w:szCs w:val="22"/>
        </w:rPr>
        <w:t xml:space="preserve">LLM reliability is a real engineering concern, not just a prompt-writing concern: both transient 503s and content-triggered refusals required actual backend resilience patterns (retry with backoff, systemInstruction framing) rather than being solvable by prompt wording alone.</w:t>
      </w:r>
    </w:p>
    <w:p>
      <w:pPr>
        <w:pStyle w:val="ListParagraph"/>
        <w:numPr>
          <w:ilvl w:val="0"/>
          <w:numId w:val="2"/>
        </w:numPr>
        <w:spacing w:after="80"/>
      </w:pPr>
      <w:r>
        <w:rPr>
          <w:rFonts w:ascii="Calibri" w:cs="Calibri" w:eastAsia="Calibri" w:hAnsi="Calibri"/>
          <w:sz w:val="22"/>
          <w:szCs w:val="22"/>
        </w:rPr>
        <w:t xml:space="preserve">CSS framework upgrades can silently break unrelated tooling: Tailwind v4’s move to oklch() colors broke a canvas-rendering library that had nothing to do with Tailwind itself, which was only diagnosed by reading the exact error message rather than assuming the bug was in application code.</w:t>
      </w:r>
    </w:p>
    <w:p>
      <w:pPr>
        <w:pStyle w:val="ListParagraph"/>
        <w:numPr>
          <w:ilvl w:val="0"/>
          <w:numId w:val="2"/>
        </w:numPr>
        <w:spacing w:after="80"/>
      </w:pPr>
      <w:r>
        <w:rPr>
          <w:rFonts w:ascii="Calibri" w:cs="Calibri" w:eastAsia="Calibri" w:hAnsi="Calibri"/>
          <w:sz w:val="22"/>
          <w:szCs w:val="22"/>
        </w:rPr>
        <w:t xml:space="preserve">Aggregation-friendly schema design pays off: storing language, threatLevel, complexityScore, and tokensUsed as flat top-level fields (rather than only inside the nested AI response object) made every analytics endpoint a simple, fast aggregation instead of requiring application-level post-processing.</w:t>
      </w:r>
    </w:p>
    <w:p>
      <w:pPr>
        <w:pStyle w:val="Heading1"/>
        <w:spacing w:after="200" w:before="360"/>
      </w:pPr>
      <w:r>
        <w:rPr>
          <w:rFonts w:ascii="Calibri" w:cs="Calibri" w:eastAsia="Calibri" w:hAnsi="Calibri"/>
          <w:b/>
          <w:bCs/>
          <w:color w:val="1E293B"/>
        </w:rPr>
        <w:t xml:space="preserve">10. Conclusion &amp; Future Scope</w:t>
      </w:r>
    </w:p>
    <w:p>
      <w:pPr>
        <w:spacing w:after="160" w:line="276"/>
      </w:pPr>
      <w:r>
        <w:rPr>
          <w:rFonts w:ascii="Calibri" w:cs="Calibri" w:eastAsia="Calibri" w:hAnsi="Calibri"/>
          <w:sz w:val="22"/>
          <w:szCs w:val="22"/>
        </w:rPr>
        <w:t xml:space="preserve">AI-DevStudio successfully demonstrates a complete MERN-stack SaaS pattern: authenticated users submit work to an LLM-backed analysis engine, results are persisted in a schema designed for aggregation, and that aggregated data is surfaced through a filterable, customizable, exportable analytics dashboard — all deployed to public infrastructure. Every requirement of the Analytics Dashboard capstone domain (visualization engine, MongoDB aggregation pipelines, interactivity, and production security/architecture) was implemented and tested against real data.</w:t>
      </w:r>
    </w:p>
    <w:p>
      <w:pPr>
        <w:pStyle w:val="Heading2"/>
        <w:spacing w:after="140" w:before="260"/>
      </w:pPr>
      <w:r>
        <w:rPr>
          <w:rFonts w:ascii="Calibri" w:cs="Calibri" w:eastAsia="Calibri" w:hAnsi="Calibri"/>
          <w:b/>
          <w:bCs/>
          <w:color w:val="4F46E5"/>
        </w:rPr>
        <w:t xml:space="preserve">Future Scope</w:t>
      </w:r>
    </w:p>
    <w:p>
      <w:pPr>
        <w:pStyle w:val="ListParagraph"/>
        <w:numPr>
          <w:ilvl w:val="0"/>
          <w:numId w:val="2"/>
        </w:numPr>
        <w:spacing w:after="80"/>
      </w:pPr>
      <w:r>
        <w:rPr>
          <w:rFonts w:ascii="Calibri" w:cs="Calibri" w:eastAsia="Calibri" w:hAnsi="Calibri"/>
          <w:sz w:val="22"/>
          <w:szCs w:val="22"/>
        </w:rPr>
        <w:t xml:space="preserve">Payment gateway integration (Razorpay/Stripe sandbox) to gate the paid tier, replacing the current hardcoded free-tier limit.</w:t>
      </w:r>
    </w:p>
    <w:p>
      <w:pPr>
        <w:pStyle w:val="ListParagraph"/>
        <w:numPr>
          <w:ilvl w:val="0"/>
          <w:numId w:val="2"/>
        </w:numPr>
        <w:spacing w:after="80"/>
      </w:pPr>
      <w:r>
        <w:rPr>
          <w:rFonts w:ascii="Calibri" w:cs="Calibri" w:eastAsia="Calibri" w:hAnsi="Calibri"/>
          <w:sz w:val="22"/>
          <w:szCs w:val="22"/>
        </w:rPr>
        <w:t xml:space="preserve">True drag-and-drop widget reordering (e.g. via dnd-kit) in addition to the current show/hide toggles.</w:t>
      </w:r>
    </w:p>
    <w:p>
      <w:pPr>
        <w:pStyle w:val="ListParagraph"/>
        <w:numPr>
          <w:ilvl w:val="0"/>
          <w:numId w:val="2"/>
        </w:numPr>
        <w:spacing w:after="80"/>
      </w:pPr>
      <w:r>
        <w:rPr>
          <w:rFonts w:ascii="Calibri" w:cs="Calibri" w:eastAsia="Calibri" w:hAnsi="Calibri"/>
          <w:sz w:val="22"/>
          <w:szCs w:val="22"/>
        </w:rPr>
        <w:t xml:space="preserve">Support for additional analysis types (e.g. dependency/license scanning) and additional LLM providers as a fallback if Gemini is unavailable.</w:t>
      </w:r>
    </w:p>
    <w:p>
      <w:pPr>
        <w:pStyle w:val="ListParagraph"/>
        <w:numPr>
          <w:ilvl w:val="0"/>
          <w:numId w:val="2"/>
        </w:numPr>
        <w:spacing w:after="80"/>
      </w:pPr>
      <w:r>
        <w:rPr>
          <w:rFonts w:ascii="Calibri" w:cs="Calibri" w:eastAsia="Calibri" w:hAnsi="Calibri"/>
          <w:sz w:val="22"/>
          <w:szCs w:val="22"/>
        </w:rPr>
        <w:t xml:space="preserve">Team/organization accounts with shared dashboards, building on the existing per-user aggregation scoping.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AI-DevStudio — Capstone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2026-08-16T15:15:37.916Z</dcterms:created>
  <dcterms:modified xsi:type="dcterms:W3CDTF">2026-08-16T15:15:37.928Z</dcterms:modified>
</cp:coreProperties>
</file>

<file path=docProps/custom.xml><?xml version="1.0" encoding="utf-8"?>
<Properties xmlns="http://schemas.openxmlformats.org/officeDocument/2006/custom-properties" xmlns:vt="http://schemas.openxmlformats.org/officeDocument/2006/docPropsVTypes"/>
</file>