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Claims triage Azure deployment guide</w:t>
      </w:r>
    </w:p>
    <w:p>
      <w:r>
        <w:t>Final deployment overview and demonstration checklist • 26 October 2026</w:t>
      </w:r>
    </w:p>
    <w:p>
      <w:r>
        <w:t>We packaged the insurance claims application as a Docker image, stored it in Azure Container Registry, and deployed it to Azure App Service. The application connects to the existing Foundry project for model access and four agents. The application was confirmed running at its default domain; the tests below verify its business behavior and memory.</w:t>
      </w:r>
    </w:p>
    <w:p>
      <w:pPr>
        <w:pStyle w:val="Heading2"/>
      </w:pPr>
      <w:r>
        <w:t>Final architecture</w:t>
      </w:r>
    </w:p>
    <w:p>
      <w:r>
        <w:t>Browser → Azure App Service → Azure AI Foundry Agent Service</w:t>
      </w:r>
    </w:p>
    <w:p>
      <w:r>
        <w:t>App Service runs the Streamlit interface, custom Python orchestration, tools and SQLite database. Foundry runs the agents against the configured model. The sequential flow is Supervisor → Intake and Validation → Anomaly and Coverage → Adjuster Briefing → Human Review. No LangChain or LangGraph is used.</w:t>
      </w:r>
    </w:p>
    <w:tbl>
      <w:tblPr>
        <w:tblW w:type="auto" w:w="0"/>
        <w:tblLayout w:type="fixed"/>
        <w:tblLook w:firstColumn="1" w:firstRow="1" w:lastColumn="0" w:lastRow="0" w:noHBand="0" w:noVBand="1" w:val="04A0"/>
      </w:tblPr>
      <w:tblGrid>
        <w:gridCol w:w="5112"/>
        <w:gridCol w:w="5112"/>
      </w:tblGrid>
      <w:tr>
        <w:trPr>
          <w:cantSplit/>
        </w:trPr>
        <w:tc>
          <w:tcPr>
            <w:tcW w:type="dxa" w:w="5112"/>
            <w:tcBorders>
              <w:top w:val="single" w:sz="4" w:color="D9D9D9"/>
              <w:left w:val="single" w:sz="4" w:color="D9D9D9"/>
              <w:bottom w:val="single" w:sz="4" w:color="D9D9D9"/>
              <w:right w:val="single" w:sz="4" w:color="D9D9D9"/>
            </w:tcBorders>
            <w:shd w:fill="DFEAF3"/>
          </w:tcPr>
          <w:p>
            <w:pPr>
              <w:spacing w:after="100" w:before="100"/>
            </w:pPr>
            <w:r>
              <w:rPr>
                <w:b/>
                <w:sz w:val="18"/>
              </w:rPr>
              <w:t>Resource</w:t>
            </w:r>
          </w:p>
        </w:tc>
        <w:tc>
          <w:tcPr>
            <w:tcW w:type="dxa" w:w="5112"/>
            <w:tcBorders>
              <w:top w:val="single" w:sz="4" w:color="D9D9D9"/>
              <w:left w:val="single" w:sz="4" w:color="D9D9D9"/>
              <w:bottom w:val="single" w:sz="4" w:color="D9D9D9"/>
              <w:right w:val="single" w:sz="4" w:color="D9D9D9"/>
            </w:tcBorders>
            <w:shd w:fill="DFEAF3"/>
          </w:tcPr>
          <w:p>
            <w:pPr>
              <w:spacing w:after="100" w:before="100"/>
            </w:pPr>
            <w:r>
              <w:rPr>
                <w:b/>
                <w:sz w:val="18"/>
              </w:rPr>
              <w:t>Final configuration</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Resource group</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rg-claims-triage</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Foundry resource and project</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sandeep-claims-ai-1236 / claims-triage • East US</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Container registry</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sandeepclaimsregistry1236</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Container image</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claims-triage:v1</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Web App</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claims-triage-sandeep-1236</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Hosting</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Linux • Free F1 • India South Central • sidecar off</w:t>
            </w:r>
          </w:p>
        </w:tc>
      </w:tr>
    </w:tbl>
    <w:p>
      <w:pPr>
        <w:pStyle w:val="Heading2"/>
      </w:pPr>
      <w:r>
        <w:t>Direct links</w:t>
      </w:r>
    </w:p>
    <w:p>
      <w:hyperlink r:id="rId9">
        <w:r>
          <w:rPr>
            <w:color w:val="0563C1"/>
          </w:rPr>
          <w:t>Open the deployed claims triage application</w:t>
        </w:r>
      </w:hyperlink>
    </w:p>
    <w:p>
      <w:hyperlink r:id="rId10">
        <w:r>
          <w:rPr>
            <w:color w:val="0563C1"/>
          </w:rPr>
          <w:t>Open the Web App in Azure Portal</w:t>
        </w:r>
      </w:hyperlink>
    </w:p>
    <w:p>
      <w:hyperlink r:id="rId11">
        <w:r>
          <w:rPr>
            <w:color w:val="0563C1"/>
          </w:rPr>
          <w:t>Open the Foundry project in Azure Portal</w:t>
        </w:r>
      </w:hyperlink>
    </w:p>
    <w:p>
      <w:hyperlink r:id="rId12">
        <w:r>
          <w:rPr>
            <w:color w:val="0563C1"/>
          </w:rPr>
          <w:t>Open the container registry</w:t>
        </w:r>
      </w:hyperlink>
    </w:p>
    <w:p>
      <w:hyperlink r:id="rId13">
        <w:r>
          <w:rPr>
            <w:color w:val="0563C1"/>
          </w:rPr>
          <w:t>Open the resource group</w:t>
        </w:r>
      </w:hyperlink>
    </w:p>
    <w:p>
      <w:r>
        <w:t>Azure management links require sign-in to the correct subscription. The Foundry API endpoint on page 2 is a service address, not the application website.</w:t>
      </w:r>
    </w:p>
    <w:p>
      <w:r>
        <w:br w:type="page"/>
      </w:r>
    </w:p>
    <w:p>
      <w:pPr>
        <w:pStyle w:val="Heading1"/>
      </w:pPr>
      <w:r>
        <w:t>Deployment steps we followed</w:t>
      </w:r>
    </w:p>
    <w:p>
      <w:pPr>
        <w:pStyle w:val="Heading2"/>
      </w:pPr>
      <w:r>
        <w:t>1 Prepare Foundry and package the application</w:t>
      </w:r>
    </w:p>
    <w:p>
      <w:r>
        <w:t>Created the claims-triage project and configured a chat model deployment. The Dockerfile uses Python 3.14, installs the locked dependencies, and copies the application, synthetic data and knowledge rules. At startup it provisions or updates the four agents, then starts Streamlit on port 8501.</w:t>
      </w:r>
    </w:p>
    <w:p>
      <w:pPr>
        <w:pStyle w:val="Heading2"/>
      </w:pPr>
      <w:r>
        <w:t>2 Build and store the image</w:t>
      </w:r>
    </w:p>
    <w:p>
      <w:r>
        <w:t>Signed in with Azure CLI and selected the subscription. Registered the Container Registry provider after Azure reported that it was missing, then created the registry and built the image in Azure.</w:t>
      </w:r>
    </w:p>
    <w:p>
      <w:pPr>
        <w:spacing w:after="160"/>
      </w:pPr>
      <w:r>
        <w:rPr>
          <w:rFonts w:ascii="Consolas" w:hAnsi="Consolas"/>
          <w:sz w:val="18"/>
        </w:rPr>
        <w:t>az provider register --namespace Microsoft.ContainerRegistry --wait</w:t>
        <w:br/>
        <w:t>az acr create --resource-group rg-claims-triage \</w:t>
        <w:br/>
        <w:t xml:space="preserve">  --name sandeepclaimsregistry1236 --sku Basic</w:t>
        <w:br/>
        <w:t>az acr build --registry sandeepclaimsregistry1236 \</w:t>
        <w:br/>
        <w:t xml:space="preserve">  --image claims-triage:v1 .</w:t>
      </w:r>
    </w:p>
    <w:p>
      <w:pPr>
        <w:pStyle w:val="Heading2"/>
      </w:pPr>
      <w:r>
        <w:t>3 Create the Web App</w:t>
      </w:r>
    </w:p>
    <w:p>
      <w:r>
        <w:t>In Azure Portal, selected Container publishing and Linux, then selected the registry image claims-triage:v1. East US blocked both B1 and F1 because quota was zero. We changed the App Service region to India South Central, which showed F1 quota available, and successfully created the app using Free F1 with sidecar support off. The Foundry project remained in East US.</w:t>
      </w:r>
    </w:p>
    <w:p>
      <w:pPr>
        <w:pStyle w:val="Heading2"/>
      </w:pPr>
      <w:r>
        <w:t>4 Configure environment variables</w:t>
      </w:r>
    </w:p>
    <w:p>
      <w:r>
        <w:t>Web App → Settings → Environment variables → App settings. Add the entries below, then Apply or Save. Use the actual model deployment name from Foundry; claims-model was the suggested name, not a confirmed value.</w:t>
      </w:r>
    </w:p>
    <w:tbl>
      <w:tblPr>
        <w:tblW w:type="auto" w:w="0"/>
        <w:tblLayout w:type="fixed"/>
        <w:tblLook w:firstColumn="1" w:firstRow="1" w:lastColumn="0" w:lastRow="0" w:noHBand="0" w:noVBand="1" w:val="04A0"/>
      </w:tblPr>
      <w:tblGrid>
        <w:gridCol w:w="5112"/>
        <w:gridCol w:w="5112"/>
      </w:tblGrid>
      <w:tr>
        <w:trPr>
          <w:cantSplit/>
        </w:trPr>
        <w:tc>
          <w:tcPr>
            <w:tcW w:type="dxa" w:w="5112"/>
            <w:tcBorders>
              <w:top w:val="single" w:sz="4" w:color="D9D9D9"/>
              <w:left w:val="single" w:sz="4" w:color="D9D9D9"/>
              <w:bottom w:val="single" w:sz="4" w:color="D9D9D9"/>
              <w:right w:val="single" w:sz="4" w:color="D9D9D9"/>
            </w:tcBorders>
            <w:shd w:fill="DFEAF3"/>
          </w:tcPr>
          <w:p>
            <w:pPr>
              <w:spacing w:after="100" w:before="100"/>
            </w:pPr>
            <w:r>
              <w:rPr>
                <w:b/>
                <w:sz w:val="18"/>
              </w:rPr>
              <w:t>Setting</w:t>
            </w:r>
          </w:p>
        </w:tc>
        <w:tc>
          <w:tcPr>
            <w:tcW w:type="dxa" w:w="5112"/>
            <w:tcBorders>
              <w:top w:val="single" w:sz="4" w:color="D9D9D9"/>
              <w:left w:val="single" w:sz="4" w:color="D9D9D9"/>
              <w:bottom w:val="single" w:sz="4" w:color="D9D9D9"/>
              <w:right w:val="single" w:sz="4" w:color="D9D9D9"/>
            </w:tcBorders>
            <w:shd w:fill="DFEAF3"/>
          </w:tcPr>
          <w:p>
            <w:pPr>
              <w:spacing w:after="100" w:before="100"/>
            </w:pPr>
            <w:r>
              <w:rPr>
                <w:b/>
                <w:sz w:val="18"/>
              </w:rPr>
              <w:t>Value</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TRIAGE_BACKEND</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azure</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AZURE_AI_MODEL_DEPLOYMENT_NAME</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Your actual Foundry model deployment name</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TRIAGE_STATE_DIR</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/home/claims-triage</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TRIAGE_RUN_TIMEOUT_SECONDS</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180</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WEBSITES_PORT</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8501</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WEBSITES_ENABLE_APP_SERVICE_STORAGE</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true</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WEBSITES_CONTAINER_START_TIME_LIMIT</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600</w:t>
            </w:r>
          </w:p>
        </w:tc>
      </w:tr>
    </w:tbl>
    <w:p>
      <w:r>
        <w:t>Set AZURE_AI_PROJECT_ENDPOINT to this exact value:</w:t>
      </w:r>
    </w:p>
    <w:p>
      <w:pPr>
        <w:spacing w:after="160"/>
      </w:pPr>
      <w:r>
        <w:rPr>
          <w:rFonts w:ascii="Consolas" w:hAnsi="Consolas"/>
          <w:sz w:val="18"/>
        </w:rPr>
        <w:t>https://sandeep-claims-ai-1236.services.ai.azure.com/api/projects/claims-triage</w:t>
      </w:r>
    </w:p>
    <w:p>
      <w:r>
        <w:t>Enter the endpoint as one continuous line with no spaces or line break.</w:t>
      </w:r>
    </w:p>
    <w:p>
      <w:r>
        <w:br w:type="page"/>
      </w:r>
    </w:p>
    <w:p>
      <w:pPr>
        <w:pStyle w:val="Heading1"/>
      </w:pPr>
      <w:r>
        <w:t>Identity and memory storage</w:t>
      </w:r>
    </w:p>
    <w:p>
      <w:pPr>
        <w:pStyle w:val="Heading2"/>
      </w:pPr>
      <w:r>
        <w:t>5 Grant the application access</w:t>
      </w:r>
    </w:p>
    <w:p>
      <w:r>
        <w:t>Container download: the identity configured for registry authentication needs AcrPull on sandeepclaimsregistry1236. Check the registry’s Access control IAM role assignments. Keep this identity configured for downloading the image.</w:t>
      </w:r>
    </w:p>
    <w:p>
      <w:r>
        <w:t>Foundry access: enabled the Web App’s system-assigned identity. Its Object or principal ID is 28e63237-c3c1-4ebf-a7f3-0dac16269eef. On the claims-triage Foundry project, assign Foundry User to this identity. The role may appear under its former name Azure AI User.</w:t>
      </w:r>
    </w:p>
    <w:p>
      <w:r>
        <w:t>Portal path: Foundry resource → Projects → claims-triage → Access control IAM → Add role assignment → Foundry User → Managed identity → App Service → claims-triage-sandeep-1236 → Review and assign. Confirm the selected Object ID matches the ID above. Assigning this role on the Web App itself does not grant Foundry access.</w:t>
      </w:r>
    </w:p>
    <w:p>
      <w:pPr>
        <w:pStyle w:val="Heading2"/>
      </w:pPr>
      <w:r>
        <w:t>6 Restart and open the application</w:t>
      </w:r>
    </w:p>
    <w:p>
      <w:r>
        <w:t>After saving settings and allowing permissions to propagate, restart the Web App. Open Monitoring → Log stream to inspect startup, then open its default domain. Confirm Execution mode is azure before running the tests. A loading webpage alone does not prove agent or model access.</w:t>
      </w:r>
    </w:p>
    <w:p>
      <w:pPr>
        <w:pStyle w:val="Heading2"/>
      </w:pPr>
      <w:r>
        <w:t>Where memory is stored</w:t>
      </w:r>
    </w:p>
    <w:p>
      <w:r>
        <w:t>The application creates a SQLite database at /home/claims-triage/memory.sqlite3 on App Service’s persistent storage. SQLite is supplied by the application; it is not a separate Azure managed database service.</w:t>
      </w:r>
    </w:p>
    <w:tbl>
      <w:tblPr>
        <w:tblW w:type="auto" w:w="0"/>
        <w:tblLayout w:type="fixed"/>
        <w:tblLook w:firstColumn="1" w:firstRow="1" w:lastColumn="0" w:lastRow="0" w:noHBand="0" w:noVBand="1" w:val="04A0"/>
      </w:tblPr>
      <w:tblGrid>
        <w:gridCol w:w="5112"/>
        <w:gridCol w:w="5112"/>
      </w:tblGrid>
      <w:tr>
        <w:trPr>
          <w:cantSplit/>
        </w:trPr>
        <w:tc>
          <w:tcPr>
            <w:tcW w:type="dxa" w:w="5112"/>
            <w:tcBorders>
              <w:top w:val="single" w:sz="4" w:color="D9D9D9"/>
              <w:left w:val="single" w:sz="4" w:color="D9D9D9"/>
              <w:bottom w:val="single" w:sz="4" w:color="D9D9D9"/>
              <w:right w:val="single" w:sz="4" w:color="D9D9D9"/>
            </w:tcBorders>
            <w:shd w:fill="DFEAF3"/>
          </w:tcPr>
          <w:p>
            <w:pPr>
              <w:spacing w:after="100" w:before="100"/>
            </w:pPr>
            <w:r>
              <w:rPr>
                <w:b/>
                <w:sz w:val="18"/>
              </w:rPr>
              <w:t>Memory</w:t>
            </w:r>
          </w:p>
        </w:tc>
        <w:tc>
          <w:tcPr>
            <w:tcW w:type="dxa" w:w="5112"/>
            <w:tcBorders>
              <w:top w:val="single" w:sz="4" w:color="D9D9D9"/>
              <w:left w:val="single" w:sz="4" w:color="D9D9D9"/>
              <w:bottom w:val="single" w:sz="4" w:color="D9D9D9"/>
              <w:right w:val="single" w:sz="4" w:color="D9D9D9"/>
            </w:tcBorders>
            <w:shd w:fill="DFEAF3"/>
          </w:tcPr>
          <w:p>
            <w:pPr>
              <w:spacing w:after="100" w:before="100"/>
            </w:pPr>
            <w:r>
              <w:rPr>
                <w:b/>
                <w:sz w:val="18"/>
              </w:rPr>
              <w:t>Contents and location</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Conversation memory</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sessions and messages tables store session context, messages and Foundry thread IDs. Foundry also stores the agent conversation threads. The active browser session holds its current session identifier.</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Persistent memory</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history, reviews, batches and events tables store previous claims, human reviews, batch results and workflow records across conversations.</w:t>
            </w:r>
          </w:p>
        </w:tc>
      </w:tr>
    </w:tbl>
    <w:p>
      <w:r>
        <w:t>New conversation changes the active context without deleting old database records. A browser refresh or reconnect may begin a new UI session. Persistent history should survive an App Service restart when the /home storage setting is enabled.</w:t>
      </w:r>
    </w:p>
    <w:p>
      <w:pPr>
        <w:pStyle w:val="Heading2"/>
      </w:pPr>
      <w:r>
        <w:t>View the database file</w:t>
      </w:r>
    </w:p>
    <w:p>
      <w:r>
        <w:t>Web App → Development Tools → Advanced Tools → Go → Kudu File Manager. Navigate to /home/claims-triage and locate memory.sqlite3. If a Bash console is shown, run:</w:t>
      </w:r>
    </w:p>
    <w:p>
      <w:pPr>
        <w:spacing w:after="160"/>
      </w:pPr>
      <w:r>
        <w:rPr>
          <w:rFonts w:ascii="Consolas" w:hAnsi="Consolas"/>
          <w:sz w:val="18"/>
        </w:rPr>
        <w:t>ls -lh /home/claims-triage/</w:t>
      </w:r>
    </w:p>
    <w:p>
      <w:r>
        <w:t>Download a copy to inspect with a SQLite viewer. This storage will not appear as a separately created Storage Account. Keep this demo at one application instance; a shared managed database is appropriate before expanding to multiple instances.</w:t>
      </w:r>
    </w:p>
    <w:p>
      <w:r>
        <w:br w:type="page"/>
      </w:r>
    </w:p>
    <w:p>
      <w:pPr>
        <w:pStyle w:val="Heading1"/>
      </w:pPr>
      <w:r>
        <w:t>Demonstration and test checklist</w:t>
      </w:r>
    </w:p>
    <w:p>
      <w:pPr>
        <w:pStyle w:val="Heading2"/>
      </w:pPr>
      <w:r>
        <w:t>1 Process the supplied synthetic batch</w:t>
      </w:r>
    </w:p>
    <w:p>
      <w:r>
        <w:t>Select azure mode. Click Load synthetic prior history, keep Use the supplied sample claims checked, and click Triage batch. Inspect the findings, retrieved rule citations and Workflow trace. Expected results assume no additional conflicting test history.</w:t>
      </w:r>
    </w:p>
    <w:tbl>
      <w:tblPr>
        <w:tblW w:type="auto" w:w="0"/>
        <w:tblLayout w:type="fixed"/>
        <w:tblLook w:firstColumn="1" w:firstRow="1" w:lastColumn="0" w:lastRow="0" w:noHBand="0" w:noVBand="1" w:val="04A0"/>
      </w:tblPr>
      <w:tblGrid>
        <w:gridCol w:w="5112"/>
        <w:gridCol w:w="5112"/>
      </w:tblGrid>
      <w:tr>
        <w:trPr>
          <w:cantSplit/>
        </w:trPr>
        <w:tc>
          <w:tcPr>
            <w:tcW w:type="dxa" w:w="5112"/>
            <w:tcBorders>
              <w:top w:val="single" w:sz="4" w:color="D9D9D9"/>
              <w:left w:val="single" w:sz="4" w:color="D9D9D9"/>
              <w:bottom w:val="single" w:sz="4" w:color="D9D9D9"/>
              <w:right w:val="single" w:sz="4" w:color="D9D9D9"/>
            </w:tcBorders>
            <w:shd w:fill="DFEAF3"/>
          </w:tcPr>
          <w:p>
            <w:pPr>
              <w:spacing w:after="100" w:before="100"/>
            </w:pPr>
            <w:r>
              <w:rPr>
                <w:b/>
                <w:sz w:val="18"/>
              </w:rPr>
              <w:t>Claim</w:t>
            </w:r>
          </w:p>
        </w:tc>
        <w:tc>
          <w:tcPr>
            <w:tcW w:type="dxa" w:w="5112"/>
            <w:tcBorders>
              <w:top w:val="single" w:sz="4" w:color="D9D9D9"/>
              <w:left w:val="single" w:sz="4" w:color="D9D9D9"/>
              <w:bottom w:val="single" w:sz="4" w:color="D9D9D9"/>
              <w:right w:val="single" w:sz="4" w:color="D9D9D9"/>
            </w:tcBorders>
            <w:shd w:fill="DFEAF3"/>
          </w:tcPr>
          <w:p>
            <w:pPr>
              <w:spacing w:after="100" w:before="100"/>
            </w:pPr>
            <w:r>
              <w:rPr>
                <w:b/>
                <w:sz w:val="18"/>
              </w:rPr>
              <w:t>Expected recommendation</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C-2031</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Route to investigator for similar earlier water damage</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C-2032</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Auto-approve recommendation if no additional flags</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C-2033</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Route to investigator for early reporting and near-limit amount</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C-2034</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Request more documentation for invalid intake</w:t>
            </w:r>
          </w:p>
        </w:tc>
      </w:tr>
      <w:tr>
        <w:trPr>
          <w:cantSplit/>
        </w:trPr>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C-2035</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18"/>
              </w:rPr>
              <w:t>Auto-approve recommendation if no additional flags</w:t>
            </w:r>
          </w:p>
        </w:tc>
      </w:tr>
    </w:tbl>
    <w:p>
      <w:pPr>
        <w:pStyle w:val="Heading2"/>
      </w:pPr>
      <w:r>
        <w:t>2 Test conversation memory and human review</w:t>
      </w:r>
    </w:p>
    <w:p>
      <w:r>
        <w:t>In Ask about a claim, ask “Explain the findings for C-2033.” Then ask “What should we do next for this claim?” The follow-up should retain C-2033 as its subject. In Human review, enter a reviewer name, select an allowed action, add notes and click Record review. Confirm the review status changes. No payment is executed.</w:t>
      </w:r>
    </w:p>
    <w:p>
      <w:pPr>
        <w:pStyle w:val="Heading2"/>
      </w:pPr>
      <w:r>
        <w:t>3 Test persistent memory across a restart</w:t>
      </w:r>
    </w:p>
    <w:p>
      <w:r>
        <w:t>After processing the sample batch, restart the Web App and reopen it. Save the JSON below as followup-claim.json, upload it, uncheck Use the supplied sample claims, and run triage. Earlier claim history should include C-2035 and trigger a similar prior loss finding, even in the new conversation.</w:t>
      </w:r>
    </w:p>
    <w:p>
      <w:pPr>
        <w:spacing w:after="160"/>
      </w:pPr>
      <w:r>
        <w:rPr>
          <w:rFonts w:ascii="Consolas" w:hAnsi="Consolas"/>
          <w:sz w:val="18"/>
        </w:rPr>
        <w:t>[{</w:t>
        <w:br/>
        <w:t xml:space="preserve">  "claim_id": "C-MEM-9001",</w:t>
        <w:br/>
        <w:t xml:space="preserve">  "policy_number": "POL-7710",</w:t>
        <w:br/>
        <w:t xml:space="preserve">  "claim_type": "collision",</w:t>
        <w:br/>
        <w:t xml:space="preserve">  "loss_date": "2026-09-20",</w:t>
        <w:br/>
        <w:t xml:space="preserve">  "report_date": "2026-09-21",</w:t>
        <w:br/>
        <w:t xml:space="preserve">  "claim_amount": 1800,</w:t>
        <w:br/>
        <w:t xml:space="preserve">  "description": "Synthetic second collision for memory testing"</w:t>
        <w:br/>
        <w:t>}]</w:t>
      </w:r>
    </w:p>
    <w:p>
      <w:pPr>
        <w:pStyle w:val="Heading2"/>
      </w:pPr>
      <w:r>
        <w:t>4 Test a tool failure</w:t>
      </w:r>
    </w:p>
    <w:p>
      <w:r>
        <w:t>Select the supplied sample batch and Simulate a tool failure. Run triage and inspect the trace. A coverage-tool error should be recorded, affected claims should be blocked from approval, and the batch should report a failure or partial failure. Uncheck the option and rerun to recover.</w:t>
      </w:r>
    </w:p>
    <w:p>
      <w:pPr>
        <w:pStyle w:val="Heading2"/>
      </w:pPr>
      <w:r>
        <w:t>Official reference links</w:t>
      </w:r>
    </w:p>
    <w:p>
      <w:hyperlink r:id="rId14">
        <w:r>
          <w:rPr>
            <w:color w:val="0563C1"/>
          </w:rPr>
          <w:t>Configure App Service environment variables</w:t>
        </w:r>
      </w:hyperlink>
    </w:p>
    <w:p>
      <w:hyperlink r:id="rId15">
        <w:r>
          <w:rPr>
            <w:color w:val="0563C1"/>
          </w:rPr>
          <w:t>Container authentication and persistent storage</w:t>
        </w:r>
      </w:hyperlink>
    </w:p>
    <w:p>
      <w:hyperlink r:id="rId16">
        <w:r>
          <w:rPr>
            <w:color w:val="0563C1"/>
          </w:rPr>
          <w:t>App Service quota troubleshooting</w:t>
        </w:r>
      </w:hyperlink>
    </w:p>
    <w:p>
      <w:r>
        <w:t>Free F1 applies to Web App hosting only; registry and model usage may still incur charges. All demonstration claims must remain synthetic. Record the actual test results during the demonstration.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aims-triage-sandeep-1236-f2h9gyekgcekf6hp.indiasouthcentral-01.azurewebsites.net/" TargetMode="External"/><Relationship Id="rId10" Type="http://schemas.openxmlformats.org/officeDocument/2006/relationships/hyperlink" Target="https://portal.azure.com/#resource/subscriptions/caccb0ba-21e6-4b56-a292-1d35c66b03b4/resourceGroups/rg-claims-triage/providers/Microsoft.Web/sites/claims-triage-sandeep-1236/overview" TargetMode="External"/><Relationship Id="rId11" Type="http://schemas.openxmlformats.org/officeDocument/2006/relationships/hyperlink" Target="https://portal.azure.com/#resource/subscriptions/caccb0ba-21e6-4b56-a292-1d35c66b03b4/resourceGroups/rg-claims-triage/providers/Microsoft.CognitiveServices/accounts/sandeep-claims-ai-1236/projects/claims-triage/overview" TargetMode="External"/><Relationship Id="rId12" Type="http://schemas.openxmlformats.org/officeDocument/2006/relationships/hyperlink" Target="https://portal.azure.com/#resource/subscriptions/caccb0ba-21e6-4b56-a292-1d35c66b03b4/resourceGroups/rg-claims-triage/providers/Microsoft.ContainerRegistry/registries/sandeepclaimsregistry1236/overview" TargetMode="External"/><Relationship Id="rId13" Type="http://schemas.openxmlformats.org/officeDocument/2006/relationships/hyperlink" Target="https://portal.azure.com/#resource/subscriptions/caccb0ba-21e6-4b56-a292-1d35c66b03b4/resourceGroups/rg-claims-triage/overview" TargetMode="External"/><Relationship Id="rId14" Type="http://schemas.openxmlformats.org/officeDocument/2006/relationships/hyperlink" Target="https://learn.microsoft.com/en-us/azure/app-service/configure-common" TargetMode="External"/><Relationship Id="rId15" Type="http://schemas.openxmlformats.org/officeDocument/2006/relationships/hyperlink" Target="https://learn.microsoft.com/en-us/azure/app-service/configure-custom-container" TargetMode="External"/><Relationship Id="rId16" Type="http://schemas.openxmlformats.org/officeDocument/2006/relationships/hyperlink" Target="https://learn.microsoft.com/en-us/troubleshoot/azure/app-service/troubleshoot-non-zone-redundant-quota-requ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