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center"/>
      </w:pPr>
      <w:r>
        <w:rPr>
          <w:b/>
          <w:bCs/>
          <w:color w:val="3EE8C4"/>
          <w:sz w:val="40"/>
          <w:szCs w:val="40"/>
        </w:rPr>
        <w:t xml:space="preserve">TRADESAATH</w:t>
      </w:r>
    </w:p>
    <w:p>
      <w:pPr>
        <w:spacing w:after="50"/>
        <w:jc w:val="center"/>
      </w:pPr>
      <w:r>
        <w:rPr>
          <w:b/>
          <w:bCs/>
          <w:sz w:val="32"/>
          <w:szCs w:val="32"/>
        </w:rPr>
        <w:t xml:space="preserve">Final Pre-Launch Audit Report</w:t>
      </w:r>
    </w:p>
    <w:p>
      <w:pPr>
        <w:spacing w:after="200"/>
        <w:jc w:val="center"/>
      </w:pPr>
      <w:r>
        <w:rPr>
          <w:i/>
          <w:iCs/>
          <w:color w:val="6B7280"/>
          <w:sz w:val="20"/>
          <w:szCs w:val="20"/>
        </w:rPr>
        <w:t xml:space="preserve">April 13, 2026  |  Production: tradesaath.vercel.app  |  Auditor: Claude AI</w:t>
      </w:r>
    </w:p>
    <w:p>
      <w:pPr>
        <w:pStyle w:val="Heading1"/>
        <w:spacing w:after="100" w:before="300"/>
      </w:pPr>
      <w:r>
        <w:rPr>
          <w:b/>
          <w:bCs/>
        </w:rPr>
        <w:t xml:space="preserve">VERDICT</w:t>
      </w:r>
    </w:p>
    <w:p>
      <w:pPr>
        <w:spacing w:after="100"/>
      </w:pPr>
      <w:r>
        <w:rPr>
          <w:b/>
          <w:bCs/>
          <w:color w:val="EF4444"/>
          <w:sz w:val="28"/>
          <w:szCs w:val="28"/>
        </w:rPr>
        <w:t xml:space="preserve">NOT READY </w:t>
      </w:r>
      <w:r>
        <w:rPr>
          <w:sz w:val="24"/>
          <w:szCs w:val="24"/>
        </w:rPr>
        <w:t xml:space="preserve">to charge ₹799/month in current state.</w:t>
      </w:r>
    </w:p>
    <w:p>
      <w:pPr>
        <w:spacing w:after="120"/>
      </w:pPr>
      <w:r>
        <w:rPr>
          <w:sz w:val="22"/>
          <w:szCs w:val="22"/>
        </w:rPr>
        <w:t xml:space="preserve">Three critical blockers must be resolved before launch. Once fixed, the product quality, UX, and value proposition are solid enough to ship.</w:t>
      </w:r>
    </w:p>
    <w:p>
      <w:pPr>
        <w:pStyle w:val="Heading1"/>
        <w:spacing w:after="100" w:before="300"/>
      </w:pPr>
      <w:r>
        <w:rPr>
          <w:b/>
          <w:bCs/>
        </w:rPr>
        <w:t xml:space="preserve">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Visual Quality</w:t>
            </w:r>
          </w:p>
        </w:tc>
        <w:tc>
          <w:tcPr>
            <w:tcW w:type="dxa" w:w="1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>
              <w:rPr>
                <w:b/>
                <w:bCs/>
                <w:color w:val="22C55E"/>
                <w:sz w:val="24"/>
                <w:szCs w:val="24"/>
              </w:rPr>
              <w:t xml:space="preserve">8/10</w:t>
            </w:r>
          </w:p>
        </w:tc>
        <w:tc>
          <w:tcPr>
            <w:tcW w:type="dxa" w:w="5000"/>
            <w:tcBorders>
              <w:top w:val="none" w:sz="0"/>
              <w:left w:val="none" w:sz="0"/>
              <w:bottom w:val="none" w:sz="0"/>
              <w:right w:val="none" w:sz="0"/>
            </w:tcBorders>
            <w:shd w:fill="F3F4F6" w:val="clear"/>
          </w:tcPr>
          <w:p>
            <w:r>
              <w:rPr>
                <w:color w:val="22C55E"/>
                <w:sz w:val="22"/>
                <w:szCs w:val="22"/>
              </w:rPr>
              <w:t xml:space="preserve">████████████████</w:t>
            </w:r>
            <w:r>
              <w:rPr>
                <w:color w:val="D1D5DB"/>
                <w:sz w:val="22"/>
                <w:szCs w:val="22"/>
              </w:rPr>
              <w:t xml:space="preserve">░░░░</w:t>
            </w:r>
          </w:p>
        </w:tc>
      </w:tr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Data Accuracy</w:t>
            </w:r>
          </w:p>
        </w:tc>
        <w:tc>
          <w:tcPr>
            <w:tcW w:type="dxa" w:w="1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>
              <w:rPr>
                <w:b/>
                <w:bCs/>
                <w:color w:val="EF4444"/>
                <w:sz w:val="24"/>
                <w:szCs w:val="24"/>
              </w:rPr>
              <w:t xml:space="preserve">5/10</w:t>
            </w:r>
          </w:p>
        </w:tc>
        <w:tc>
          <w:tcPr>
            <w:tcW w:type="dxa" w:w="5000"/>
            <w:tcBorders>
              <w:top w:val="none" w:sz="0"/>
              <w:left w:val="none" w:sz="0"/>
              <w:bottom w:val="none" w:sz="0"/>
              <w:right w:val="none" w:sz="0"/>
            </w:tcBorders>
            <w:shd w:fill="F3F4F6" w:val="clear"/>
          </w:tcPr>
          <w:p>
            <w:r>
              <w:rPr>
                <w:color w:val="EF4444"/>
                <w:sz w:val="22"/>
                <w:szCs w:val="22"/>
              </w:rPr>
              <w:t xml:space="preserve">██████████</w:t>
            </w:r>
            <w:r>
              <w:rPr>
                <w:color w:val="D1D5DB"/>
                <w:sz w:val="22"/>
                <w:szCs w:val="22"/>
              </w:rPr>
              <w:t xml:space="preserve">░░░░░░░░░░</w:t>
            </w:r>
          </w:p>
        </w:tc>
      </w:tr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Mobile Responsiveness</w:t>
            </w:r>
          </w:p>
        </w:tc>
        <w:tc>
          <w:tcPr>
            <w:tcW w:type="dxa" w:w="1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>
              <w:rPr>
                <w:b/>
                <w:bCs/>
                <w:color w:val="F59E0B"/>
                <w:sz w:val="24"/>
                <w:szCs w:val="24"/>
              </w:rPr>
              <w:t xml:space="preserve">7/10</w:t>
            </w:r>
          </w:p>
        </w:tc>
        <w:tc>
          <w:tcPr>
            <w:tcW w:type="dxa" w:w="5000"/>
            <w:tcBorders>
              <w:top w:val="none" w:sz="0"/>
              <w:left w:val="none" w:sz="0"/>
              <w:bottom w:val="none" w:sz="0"/>
              <w:right w:val="none" w:sz="0"/>
            </w:tcBorders>
            <w:shd w:fill="F3F4F6" w:val="clear"/>
          </w:tcPr>
          <w:p>
            <w:r>
              <w:rPr>
                <w:color w:val="F59E0B"/>
                <w:sz w:val="22"/>
                <w:szCs w:val="22"/>
              </w:rPr>
              <w:t xml:space="preserve">██████████████</w:t>
            </w:r>
            <w:r>
              <w:rPr>
                <w:color w:val="D1D5DB"/>
                <w:sz w:val="22"/>
                <w:szCs w:val="22"/>
              </w:rPr>
              <w:t xml:space="preserve">░░░░░░</w:t>
            </w:r>
          </w:p>
        </w:tc>
      </w:tr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Performance</w:t>
            </w:r>
          </w:p>
        </w:tc>
        <w:tc>
          <w:tcPr>
            <w:tcW w:type="dxa" w:w="1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>
              <w:rPr>
                <w:b/>
                <w:bCs/>
                <w:color w:val="F59E0B"/>
                <w:sz w:val="24"/>
                <w:szCs w:val="24"/>
              </w:rPr>
              <w:t xml:space="preserve">7/10</w:t>
            </w:r>
          </w:p>
        </w:tc>
        <w:tc>
          <w:tcPr>
            <w:tcW w:type="dxa" w:w="5000"/>
            <w:tcBorders>
              <w:top w:val="none" w:sz="0"/>
              <w:left w:val="none" w:sz="0"/>
              <w:bottom w:val="none" w:sz="0"/>
              <w:right w:val="none" w:sz="0"/>
            </w:tcBorders>
            <w:shd w:fill="F3F4F6" w:val="clear"/>
          </w:tcPr>
          <w:p>
            <w:r>
              <w:rPr>
                <w:color w:val="F59E0B"/>
                <w:sz w:val="22"/>
                <w:szCs w:val="22"/>
              </w:rPr>
              <w:t xml:space="preserve">██████████████</w:t>
            </w:r>
            <w:r>
              <w:rPr>
                <w:color w:val="D1D5DB"/>
                <w:sz w:val="22"/>
                <w:szCs w:val="22"/>
              </w:rPr>
              <w:t xml:space="preserve">░░░░░░</w:t>
            </w:r>
          </w:p>
        </w:tc>
      </w:tr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Copy / Text Quality</w:t>
            </w:r>
          </w:p>
        </w:tc>
        <w:tc>
          <w:tcPr>
            <w:tcW w:type="dxa" w:w="1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>
              <w:rPr>
                <w:b/>
                <w:bCs/>
                <w:color w:val="F59E0B"/>
                <w:sz w:val="24"/>
                <w:szCs w:val="24"/>
              </w:rPr>
              <w:t xml:space="preserve">7/10</w:t>
            </w:r>
          </w:p>
        </w:tc>
        <w:tc>
          <w:tcPr>
            <w:tcW w:type="dxa" w:w="5000"/>
            <w:tcBorders>
              <w:top w:val="none" w:sz="0"/>
              <w:left w:val="none" w:sz="0"/>
              <w:bottom w:val="none" w:sz="0"/>
              <w:right w:val="none" w:sz="0"/>
            </w:tcBorders>
            <w:shd w:fill="F3F4F6" w:val="clear"/>
          </w:tcPr>
          <w:p>
            <w:r>
              <w:rPr>
                <w:color w:val="F59E0B"/>
                <w:sz w:val="22"/>
                <w:szCs w:val="22"/>
              </w:rPr>
              <w:t xml:space="preserve">██████████████</w:t>
            </w:r>
            <w:r>
              <w:rPr>
                <w:color w:val="D1D5DB"/>
                <w:sz w:val="22"/>
                <w:szCs w:val="22"/>
              </w:rPr>
              <w:t xml:space="preserve">░░░░░░</w:t>
            </w:r>
          </w:p>
        </w:tc>
      </w:tr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User Flows</w:t>
            </w:r>
          </w:p>
        </w:tc>
        <w:tc>
          <w:tcPr>
            <w:tcW w:type="dxa" w:w="1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>
              <w:rPr>
                <w:b/>
                <w:bCs/>
                <w:color w:val="F59E0B"/>
                <w:sz w:val="24"/>
                <w:szCs w:val="24"/>
              </w:rPr>
              <w:t xml:space="preserve">7/10</w:t>
            </w:r>
          </w:p>
        </w:tc>
        <w:tc>
          <w:tcPr>
            <w:tcW w:type="dxa" w:w="5000"/>
            <w:tcBorders>
              <w:top w:val="none" w:sz="0"/>
              <w:left w:val="none" w:sz="0"/>
              <w:bottom w:val="none" w:sz="0"/>
              <w:right w:val="none" w:sz="0"/>
            </w:tcBorders>
            <w:shd w:fill="F3F4F6" w:val="clear"/>
          </w:tcPr>
          <w:p>
            <w:r>
              <w:rPr>
                <w:color w:val="F59E0B"/>
                <w:sz w:val="22"/>
                <w:szCs w:val="22"/>
              </w:rPr>
              <w:t xml:space="preserve">██████████████</w:t>
            </w:r>
            <w:r>
              <w:rPr>
                <w:color w:val="D1D5DB"/>
                <w:sz w:val="22"/>
                <w:szCs w:val="22"/>
              </w:rPr>
              <w:t xml:space="preserve">░░░░░░</w:t>
            </w:r>
          </w:p>
        </w:tc>
      </w:tr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Edge Cases</w:t>
            </w:r>
          </w:p>
        </w:tc>
        <w:tc>
          <w:tcPr>
            <w:tcW w:type="dxa" w:w="1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>
              <w:rPr>
                <w:b/>
                <w:bCs/>
                <w:color w:val="F59E0B"/>
                <w:sz w:val="24"/>
                <w:szCs w:val="24"/>
              </w:rPr>
              <w:t xml:space="preserve">6/10</w:t>
            </w:r>
          </w:p>
        </w:tc>
        <w:tc>
          <w:tcPr>
            <w:tcW w:type="dxa" w:w="5000"/>
            <w:tcBorders>
              <w:top w:val="none" w:sz="0"/>
              <w:left w:val="none" w:sz="0"/>
              <w:bottom w:val="none" w:sz="0"/>
              <w:right w:val="none" w:sz="0"/>
            </w:tcBorders>
            <w:shd w:fill="F3F4F6" w:val="clear"/>
          </w:tcPr>
          <w:p>
            <w:r>
              <w:rPr>
                <w:color w:val="F59E0B"/>
                <w:sz w:val="22"/>
                <w:szCs w:val="22"/>
              </w:rPr>
              <w:t xml:space="preserve">████████████</w:t>
            </w:r>
            <w:r>
              <w:rPr>
                <w:color w:val="D1D5DB"/>
                <w:sz w:val="22"/>
                <w:szCs w:val="22"/>
              </w:rPr>
              <w:t xml:space="preserve">░░░░░░░░</w:t>
            </w:r>
          </w:p>
        </w:tc>
      </w:tr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Security / Prod Readiness</w:t>
            </w:r>
          </w:p>
        </w:tc>
        <w:tc>
          <w:tcPr>
            <w:tcW w:type="dxa" w:w="1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>
              <w:rPr>
                <w:b/>
                <w:bCs/>
                <w:color w:val="EF4444"/>
                <w:sz w:val="24"/>
                <w:szCs w:val="24"/>
              </w:rPr>
              <w:t xml:space="preserve">4/10</w:t>
            </w:r>
          </w:p>
        </w:tc>
        <w:tc>
          <w:tcPr>
            <w:tcW w:type="dxa" w:w="5000"/>
            <w:tcBorders>
              <w:top w:val="none" w:sz="0"/>
              <w:left w:val="none" w:sz="0"/>
              <w:bottom w:val="none" w:sz="0"/>
              <w:right w:val="none" w:sz="0"/>
            </w:tcBorders>
            <w:shd w:fill="F3F4F6" w:val="clear"/>
          </w:tcPr>
          <w:p>
            <w:r>
              <w:rPr>
                <w:color w:val="EF4444"/>
                <w:sz w:val="22"/>
                <w:szCs w:val="22"/>
              </w:rPr>
              <w:t xml:space="preserve">████████</w:t>
            </w:r>
            <w:r>
              <w:rPr>
                <w:color w:val="D1D5DB"/>
                <w:sz w:val="22"/>
                <w:szCs w:val="22"/>
              </w:rPr>
              <w:t xml:space="preserve">░░░░░░░░░░░░</w:t>
            </w:r>
          </w:p>
        </w:tc>
      </w:tr>
    </w:tbl>
    <w:p>
      <w:pPr>
        <w:spacing w:after="200" w:before="100"/>
        <w:jc w:val="right"/>
      </w:pPr>
      <w:r>
        <w:rPr>
          <w:b/>
          <w:bCs/>
          <w:color w:val="F59E0B"/>
          <w:sz w:val="26"/>
          <w:szCs w:val="26"/>
        </w:rPr>
        <w:t xml:space="preserve">Overall: 6.4 / 10</w:t>
      </w:r>
    </w:p>
    <w:p>
      <w:pPr>
        <w:pStyle w:val="Heading1"/>
        <w:spacing w:after="100" w:before="300"/>
      </w:pPr>
      <w:r>
        <w:rPr>
          <w:b/>
          <w:bCs/>
        </w:rPr>
        <w:t xml:space="preserve">CRITICAL ISSUES (Must Fix Before Launch)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CC0000"/>
          <w:sz w:val="22"/>
          <w:szCs w:val="22"/>
        </w:rPr>
        <w:t xml:space="preserve">C1 — Clerk in Development Mode: </w:t>
      </w:r>
      <w:r>
        <w:rPr>
          <w:sz w:val="22"/>
          <w:szCs w:val="22"/>
        </w:rPr>
        <w:t xml:space="preserve">Sign-in page shows a visible 'Development mode' badge and 'Secured by clerk' text. Google OAuth consent screen says 'Sign in to Clerk' instead of 'TradeSaath'. Users will not trust entering credentials on a page that screams 'dev mode'. Switch Clerk to Production instance before launch.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CC0000"/>
          <w:sz w:val="22"/>
          <w:szCs w:val="22"/>
        </w:rPr>
        <w:t xml:space="preserve">C2 — Razorpay Test Mode Badge: </w:t>
      </w:r>
      <w:r>
        <w:rPr>
          <w:sz w:val="22"/>
          <w:szCs w:val="22"/>
        </w:rPr>
        <w:t xml:space="preserve">The pricing section on the landing page displays an orange 'TEST MODE — no real charges' badge. This immediately communicates 'not a real product'. Switch to Razorpay Live mode with real credentials before any public launch.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CC0000"/>
          <w:sz w:val="22"/>
          <w:szCs w:val="22"/>
        </w:rPr>
        <w:t xml:space="preserve">C3 — ₹NaN in Upload Analysis: </w:t>
      </w:r>
      <w:r>
        <w:rPr>
          <w:sz w:val="22"/>
          <w:szCs w:val="22"/>
        </w:rPr>
        <w:t xml:space="preserve">After uploading a valid Zerodha CSV (6 trades), the analysis results page shows '₹NaN' for both BUY VALUE and SELL VALUE KPIs. All other KPIs (P&amp;L, win rate, profit factor, best/worst trade, gross profit/loss) compute correctly. The NaN likely comes from a missing column or parsing issue in the buy_value/sell_value calculation. This is visible on the first screen users see after their first upload — it immediately undermines confidence.</w:t>
      </w:r>
    </w:p>
    <w:p>
      <w:pPr>
        <w:pStyle w:val="Heading1"/>
        <w:spacing w:after="100" w:before="300"/>
      </w:pPr>
      <w:r>
        <w:rPr>
          <w:b/>
          <w:bCs/>
        </w:rPr>
        <w:t xml:space="preserve">MINOR ISSUES (Fix Soon After Launch)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D97706"/>
          <w:sz w:val="22"/>
          <w:szCs w:val="22"/>
        </w:rPr>
        <w:t xml:space="preserve">M1 — Grammar: '1 sessions': </w:t>
      </w:r>
      <w:r>
        <w:rPr>
          <w:sz w:val="22"/>
          <w:szCs w:val="22"/>
        </w:rPr>
        <w:t xml:space="preserve">Dashboard header says 'April 2026 · 1 sessions · 6 trades analysed'. Should be '1 session' (singular). Same issue in the stat card: '1 SESSIONS' should be '1 SESSION'.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D97706"/>
          <w:sz w:val="22"/>
          <w:szCs w:val="22"/>
        </w:rPr>
        <w:t xml:space="preserve">M2 — P&amp;L Sign Ambiguity: </w:t>
      </w:r>
      <w:r>
        <w:rPr>
          <w:sz w:val="22"/>
          <w:szCs w:val="22"/>
        </w:rPr>
        <w:t xml:space="preserve">Dashboard shows '₹2,215' for THIS MONTH P&amp;L and BEST DAY without a minus sign. The color is red (correctly indicating a loss), but the missing '-' prefix is confusing. A trader glancing at '₹2,215' may read it as profit. Same issue in the floating chat: 'Gross P&amp;L ₹2,215' without sign.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D97706"/>
          <w:sz w:val="22"/>
          <w:szCs w:val="22"/>
        </w:rPr>
        <w:t xml:space="preserve">M3 — 'BEST DAY' Confusion: </w:t>
      </w:r>
      <w:r>
        <w:rPr>
          <w:sz w:val="22"/>
          <w:szCs w:val="22"/>
        </w:rPr>
        <w:t xml:space="preserve">When there's only one session and it was a losing day, 'BEST DAY ₹2,215' reads as a profit. Consider showing '-₹2,215' or 'Best Day: -₹2,215 (Apr 10)' or hiding the label when only one session exists.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D97706"/>
          <w:sz w:val="22"/>
          <w:szCs w:val="22"/>
        </w:rPr>
        <w:t xml:space="preserve">M4 — Win Rate Rounding: </w:t>
      </w:r>
      <w:r>
        <w:rPr>
          <w:sz w:val="22"/>
          <w:szCs w:val="22"/>
        </w:rPr>
        <w:t xml:space="preserve">Win rate shows 33% but actual is 33.33% (2/6). Minor, but 33.33% or 33.3% is more precise for a data-driven product.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D97706"/>
          <w:sz w:val="22"/>
          <w:szCs w:val="22"/>
        </w:rPr>
        <w:t xml:space="preserve">M5 — 'Fix this in Saathi' Link on Free Plan: </w:t>
      </w:r>
      <w:r>
        <w:rPr>
          <w:sz w:val="22"/>
          <w:szCs w:val="22"/>
        </w:rPr>
        <w:t xml:space="preserve">Dashboard ‘YOUR #1 ISSUE’ card shows 'Fix this in Saathi →' but Saathi is a Pro feature. Clicking it takes a free user to the locked Saathi page. Consider: 'Fix this in Saathi (Pro)' or changing the CTA to 'Upgrade to fix this →'.</w:t>
      </w:r>
    </w:p>
    <w:p>
      <w:pPr>
        <w:pStyle w:val="Heading1"/>
        <w:spacing w:after="100" w:before="300"/>
      </w:pPr>
      <w:r>
        <w:rPr>
          <w:b/>
          <w:bCs/>
        </w:rPr>
        <w:t xml:space="preserve">NICE-TO-HAVE (Polish for V2)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6B7280"/>
          <w:sz w:val="22"/>
          <w:szCs w:val="22"/>
        </w:rPr>
        <w:t xml:space="preserve">N1 — Upload Detection Stuck at 'Detecting...': </w:t>
      </w:r>
      <w:r>
        <w:rPr>
          <w:sz w:val="22"/>
          <w:szCs w:val="22"/>
        </w:rPr>
        <w:t xml:space="preserve">After programmatic file upload, the auto-detection badge stayed on 'Detecting...' indefinitely even though the Analyse button appeared. The transition should resolve to 'Detected: NSE / Zerodha / INR' or similar. May only affect non-standard upload paths.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6B7280"/>
          <w:sz w:val="22"/>
          <w:szCs w:val="22"/>
        </w:rPr>
        <w:t xml:space="preserve">N2 — Empty Footer Space: </w:t>
      </w:r>
      <w:r>
        <w:rPr>
          <w:sz w:val="22"/>
          <w:szCs w:val="22"/>
        </w:rPr>
        <w:t xml:space="preserve">Upload page has excessive empty vertical space below the drop zone before the footer. No content or context fills this gap.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6B7280"/>
          <w:sz w:val="22"/>
          <w:szCs w:val="22"/>
        </w:rPr>
        <w:t xml:space="preserve">N3 — Pre-Market Check-In Not Persisted: </w:t>
      </w:r>
      <w:r>
        <w:rPr>
          <w:sz w:val="22"/>
          <w:szCs w:val="22"/>
        </w:rPr>
        <w:t xml:space="preserve">The 'Before You Trade' intention checker is client-side only. If a user selects intentions and refreshes, they're lost. Consider persisting to localStorage or database.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6B7280"/>
          <w:sz w:val="22"/>
          <w:szCs w:val="22"/>
        </w:rPr>
        <w:t xml:space="preserve">N4 — Google OAuth Branding: </w:t>
      </w:r>
      <w:r>
        <w:rPr>
          <w:sz w:val="22"/>
          <w:szCs w:val="22"/>
        </w:rPr>
        <w:t xml:space="preserve">Even after switching to Clerk Production, you'll need to configure Google OAuth consent screen to show 'TradeSaath' instead of 'Clerk' as the app name. This requires Google Cloud Console configuration.</w:t>
      </w:r>
    </w:p>
    <w:p>
      <w:pPr>
        <w:pStyle w:val="Heading1"/>
        <w:spacing w:after="100" w:before="300"/>
      </w:pPr>
      <w:r>
        <w:rPr>
          <w:b/>
          <w:bCs/>
        </w:rPr>
        <w:t xml:space="preserve">WHAT'S WORKING WELL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863A"/>
          <w:sz w:val="22"/>
          <w:szCs w:val="22"/>
        </w:rPr>
        <w:t xml:space="preserve">Professional dark theme with polished visual design — looks premium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863A"/>
          <w:sz w:val="22"/>
          <w:szCs w:val="22"/>
        </w:rPr>
        <w:t xml:space="preserve">Light mode works correctly with proper contrast (verified via DOM inspection)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863A"/>
          <w:sz w:val="22"/>
          <w:szCs w:val="22"/>
        </w:rPr>
        <w:t xml:space="preserve">Theme toggle (Day/Night) works smoothly with localStorage persistence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863A"/>
          <w:sz w:val="22"/>
          <w:szCs w:val="22"/>
        </w:rPr>
        <w:t xml:space="preserve">Upload flow: file detection, auto-broker identification (Zerodha), AI analysis all 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863A"/>
          <w:sz w:val="22"/>
          <w:szCs w:val="22"/>
        </w:rPr>
        <w:t xml:space="preserve">AI analysis produces correct: P&amp;L, win/loss count, profit factor, gross profit/loss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863A"/>
          <w:sz w:val="22"/>
          <w:szCs w:val="22"/>
        </w:rPr>
        <w:t xml:space="preserve">Session data persists correctly to database and shows on Dashboard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863A"/>
          <w:sz w:val="22"/>
          <w:szCs w:val="22"/>
        </w:rPr>
        <w:t xml:space="preserve">Score donut, #1 Issue card, and Pre-Market Check-In create a compelling dashboard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863A"/>
          <w:sz w:val="22"/>
          <w:szCs w:val="22"/>
        </w:rPr>
        <w:t xml:space="preserve">TAG_LABELS mapping works: 'loss' tag shows as 'Taking Losses Poorly' (not raw tag)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863A"/>
          <w:sz w:val="22"/>
          <w:szCs w:val="22"/>
        </w:rPr>
        <w:t xml:space="preserve">Plan gating works correctly: Journal/Journey locked on Free, Saathi locked below Pro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863A"/>
          <w:sz w:val="22"/>
          <w:szCs w:val="22"/>
        </w:rPr>
        <w:t xml:space="preserve">Floating AI chat is polished: coaching memory, suggested prompts, clean UI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863A"/>
          <w:sz w:val="22"/>
          <w:szCs w:val="22"/>
        </w:rPr>
        <w:t xml:space="preserve">Responsive CSS with breakpoints at 900px, 640px, 600px, 480px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863A"/>
          <w:sz w:val="22"/>
          <w:szCs w:val="22"/>
        </w:rPr>
        <w:t xml:space="preserve">Footer tagline is compelling: 'Built for traders who want to understand, not just see, their results'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863A"/>
          <w:sz w:val="22"/>
          <w:szCs w:val="22"/>
        </w:rPr>
        <w:t xml:space="preserve">Pricing page shows clear tier differentiation (Free/Single Report/Pro)</w:t>
      </w:r>
    </w:p>
    <w:p>
      <w:pPr>
        <w:pStyle w:val="Heading1"/>
        <w:spacing w:after="100" w:before="300"/>
      </w:pPr>
      <w:r>
        <w:rPr>
          <w:b/>
          <w:bCs/>
        </w:rPr>
        <w:t xml:space="preserve">PAGE-BY-PAGE AUDIT SUMMARY</w:t>
      </w:r>
    </w:p>
    <w:p>
      <w:pPr>
        <w:pStyle w:val="Heading2"/>
        <w:spacing w:after="100" w:before="300"/>
      </w:pPr>
      <w:r>
        <w:rPr>
          <w:b/>
          <w:bCs/>
        </w:rPr>
        <w:t xml:space="preserve">Landing Page (Signed Out)</w:t>
      </w:r>
    </w:p>
    <w:p>
      <w:pPr>
        <w:spacing w:after="120"/>
      </w:pPr>
      <w:r>
        <w:rPr>
          <w:sz w:val="22"/>
          <w:szCs w:val="22"/>
        </w:rPr>
        <w:t xml:space="preserve">Hero, How It Works, Features, Pricing, FAQ all present and polished. No placeholder text, NaN, undefined, or debug artifacts. Pricing shows Free ₹0 / Single Report ₹99 / Pro ₹799/mo with Monthly/Yearly toggle. Only issue: Razorpay test mode badge (C2).</w:t>
      </w:r>
    </w:p>
    <w:p>
      <w:pPr>
        <w:pStyle w:val="Heading2"/>
        <w:spacing w:after="100" w:before="300"/>
      </w:pPr>
      <w:r>
        <w:rPr>
          <w:b/>
          <w:bCs/>
        </w:rPr>
        <w:t xml:space="preserve">Sign-In Page</w:t>
      </w:r>
    </w:p>
    <w:p>
      <w:pPr>
        <w:spacing w:after="120"/>
      </w:pPr>
      <w:r>
        <w:rPr>
          <w:sz w:val="22"/>
          <w:szCs w:val="22"/>
        </w:rPr>
        <w:t xml:space="preserve">Clerk sign-in form renders. Shows 'Development mode' badge and 'Secured by clerk' (C1). Google OAuth works but consent screen says 'Sign in to Clerk' not 'TradeSaath' (N4). Auth redirect to /dashboard works correctly.</w:t>
      </w:r>
    </w:p>
    <w:p>
      <w:pPr>
        <w:pStyle w:val="Heading2"/>
        <w:spacing w:after="100" w:before="300"/>
      </w:pPr>
      <w:r>
        <w:rPr>
          <w:b/>
          <w:bCs/>
        </w:rPr>
        <w:t xml:space="preserve">Dashboard (Empty)</w:t>
      </w:r>
    </w:p>
    <w:p>
      <w:pPr>
        <w:spacing w:after="120"/>
      </w:pPr>
      <w:r>
        <w:rPr>
          <w:sz w:val="22"/>
          <w:szCs w:val="22"/>
        </w:rPr>
        <w:t xml:space="preserve">Clean empty state: 'Welcome to your Trading Dashboard' with icon, descriptive text, and 'Upload First Session' CTA. No visual issues.</w:t>
      </w:r>
    </w:p>
    <w:p>
      <w:pPr>
        <w:pStyle w:val="Heading2"/>
        <w:spacing w:after="100" w:before="300"/>
      </w:pPr>
      <w:r>
        <w:rPr>
          <w:b/>
          <w:bCs/>
        </w:rPr>
        <w:t xml:space="preserve">Dashboard (With Data)</w:t>
      </w:r>
    </w:p>
    <w:p>
      <w:pPr>
        <w:spacing w:after="120"/>
      </w:pPr>
      <w:r>
        <w:rPr>
          <w:sz w:val="22"/>
          <w:szCs w:val="22"/>
        </w:rPr>
        <w:t xml:space="preserve">Score donut (45/100), #1 Issue card, Pre-Market Check-In, 5 stat cards all render. Tag label fix confirmed working. Issues: M1 (grammar), M2 (sign), M3 (best day), M5 (Saathi link for free users).</w:t>
      </w:r>
    </w:p>
    <w:p>
      <w:pPr>
        <w:pStyle w:val="Heading2"/>
        <w:spacing w:after="100" w:before="300"/>
      </w:pPr>
      <w:r>
        <w:rPr>
          <w:b/>
          <w:bCs/>
        </w:rPr>
        <w:t xml:space="preserve">Upload Page</w:t>
      </w:r>
    </w:p>
    <w:p>
      <w:pPr>
        <w:spacing w:after="120"/>
      </w:pPr>
      <w:r>
        <w:rPr>
          <w:sz w:val="22"/>
          <w:szCs w:val="22"/>
        </w:rPr>
        <w:t xml:space="preserve">'Analyse Your Trades' heading with FREE badge. Drop zone with format badges (PDF, CSV, XLSX, XLS, PNG, JPG, JPEG). Auto-detection badge. 'Run Free Analysis' button. Issue: C3 (₹NaN), N1 (detection stuck), N2 (empty space).</w:t>
      </w:r>
    </w:p>
    <w:p>
      <w:pPr>
        <w:pStyle w:val="Heading2"/>
        <w:spacing w:after="100" w:before="300"/>
      </w:pPr>
      <w:r>
        <w:rPr>
          <w:b/>
          <w:bCs/>
        </w:rPr>
        <w:t xml:space="preserve">Journal / Journey / Saathi</w:t>
      </w:r>
    </w:p>
    <w:p>
      <w:pPr>
        <w:spacing w:after="120"/>
      </w:pPr>
      <w:r>
        <w:rPr>
          <w:sz w:val="22"/>
          <w:szCs w:val="22"/>
        </w:rPr>
        <w:t xml:space="preserve">All correctly plan-gated. Journal/Journey show PlanGate: 'Paid Feature' with 'View Plans' CTA. Saathi shows custom gate with feature description and '₹799/mo' pricing. No content leaks through the gate.</w:t>
      </w:r>
    </w:p>
    <w:p>
      <w:pPr>
        <w:pStyle w:val="Heading2"/>
        <w:spacing w:after="100" w:before="300"/>
      </w:pPr>
      <w:r>
        <w:rPr>
          <w:b/>
          <w:bCs/>
        </w:rPr>
        <w:t xml:space="preserve">Floating AI Chat</w:t>
      </w:r>
    </w:p>
    <w:p>
      <w:pPr>
        <w:spacing w:after="120"/>
      </w:pPr>
      <w:r>
        <w:rPr>
          <w:sz w:val="22"/>
          <w:szCs w:val="22"/>
        </w:rPr>
        <w:t xml:space="preserve">Opens from bottom-right bubble. Shows 'TradeSaath AI · Online · Your Trading Saathi'. Coaching Memory Active with session stats. Three suggested prompts (PSYCH, RULES, AUDIT). Input field + Send button. Clean close behavior. Minor: P&amp;L shows without minus sign (same as M2).</w:t>
      </w:r>
    </w:p>
    <w:p>
      <w:pPr>
        <w:pStyle w:val="Heading1"/>
        <w:spacing w:after="100" w:before="300"/>
      </w:pPr>
      <w:r>
        <w:rPr>
          <w:b/>
          <w:bCs/>
        </w:rPr>
        <w:t xml:space="preserve">RECOMMENDED LAUNCH SEQUENCE</w:t>
      </w:r>
    </w:p>
    <w:p>
      <w:pPr>
        <w:spacing w:after="120"/>
      </w:pPr>
      <w:r>
        <w:rPr>
          <w:sz w:val="22"/>
          <w:szCs w:val="22"/>
        </w:rPr>
        <w:t xml:space="preserve">1. Fix C3 (NaN bug) — likely a 30-minute code fix in the upload analysis pipeline</w:t>
      </w:r>
    </w:p>
    <w:p>
      <w:pPr>
        <w:spacing w:after="120"/>
      </w:pPr>
      <w:r>
        <w:rPr>
          <w:sz w:val="22"/>
          <w:szCs w:val="22"/>
        </w:rPr>
        <w:t xml:space="preserve">2. Switch Clerk to Production instance — requires new Clerk project + env vars</w:t>
      </w:r>
    </w:p>
    <w:p>
      <w:pPr>
        <w:spacing w:after="120"/>
      </w:pPr>
      <w:r>
        <w:rPr>
          <w:sz w:val="22"/>
          <w:szCs w:val="22"/>
        </w:rPr>
        <w:t xml:space="preserve">3. Switch Razorpay to Live mode — requires KYC approval + live API keys</w:t>
      </w:r>
    </w:p>
    <w:p>
      <w:pPr>
        <w:spacing w:after="120"/>
      </w:pPr>
      <w:r>
        <w:rPr>
          <w:sz w:val="22"/>
          <w:szCs w:val="22"/>
        </w:rPr>
        <w:t xml:space="preserve">4. Fix M1 (grammar) and M2 (sign) — quick string fixes in dashboard</w:t>
      </w:r>
    </w:p>
    <w:p>
      <w:pPr>
        <w:spacing w:after="120"/>
      </w:pPr>
      <w:r>
        <w:rPr>
          <w:sz w:val="22"/>
          <w:szCs w:val="22"/>
        </w:rPr>
        <w:t xml:space="preserve">5. Deploy, test one real upload end-to-end, verify payment flow</w:t>
      </w:r>
    </w:p>
    <w:p>
      <w:pPr>
        <w:spacing w:after="120"/>
      </w:pPr>
      <w:r>
        <w:rPr>
          <w:sz w:val="22"/>
          <w:szCs w:val="22"/>
        </w:rPr>
        <w:t xml:space="preserve">6. Launch.</w:t>
      </w:r>
    </w:p>
    <w:p>
      <w:pPr>
        <w:spacing w:before="400"/>
        <w:jc w:val="center"/>
      </w:pPr>
      <w:r>
        <w:rPr>
          <w:i/>
          <w:iCs/>
          <w:color w:val="9CA3AF"/>
          <w:sz w:val="20"/>
          <w:szCs w:val="20"/>
        </w:rPr>
        <w:t xml:space="preserve">— End of Audit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2026-04-13T14:40:27.922Z</dcterms:created>
  <dcterms:modified xsi:type="dcterms:W3CDTF">2026-04-13T14:40:27.922Z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