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аналитическая-записка"/>
    <w:p>
      <w:pPr>
        <w:pStyle w:val="Heading1"/>
      </w:pPr>
      <w:r>
        <w:t xml:space="preserve">АНАЛИТИЧЕСКАЯ ЗАПИСКА</w:t>
      </w:r>
    </w:p>
    <w:p>
      <w:pPr>
        <w:pStyle w:val="FirstParagraph"/>
      </w:pPr>
      <w:r>
        <w:rPr>
          <w:bCs/>
          <w:b/>
        </w:rPr>
        <w:t xml:space="preserve">Тема:</w:t>
      </w:r>
      <w:r>
        <w:t xml:space="preserve"> </w:t>
      </w:r>
      <w:r>
        <w:t xml:space="preserve">Правовые риски маркетинговых рассылок из Битрикс24 при отсутствии подтверждённого согласия получателей</w:t>
      </w:r>
    </w:p>
    <w:p>
      <w:pPr>
        <w:pStyle w:val="BodyText"/>
      </w:pPr>
      <w:r>
        <w:rPr>
          <w:bCs/>
          <w:b/>
        </w:rPr>
        <w:t xml:space="preserve">Дата составления:</w:t>
      </w:r>
      <w:r>
        <w:t xml:space="preserve"> </w:t>
      </w:r>
      <w:r>
        <w:t xml:space="preserve">23 мая 2026 года</w:t>
      </w:r>
    </w:p>
    <w:p>
      <w:pPr>
        <w:pStyle w:val="BodyText"/>
      </w:pPr>
      <w:r>
        <w:rPr>
          <w:bCs/>
          <w:b/>
        </w:rPr>
        <w:t xml:space="preserve">Цель документа:</w:t>
      </w:r>
      <w:r>
        <w:t xml:space="preserve"> </w:t>
      </w:r>
      <w:r>
        <w:t xml:space="preserve">оценить правовые риски компании при проведении рекламных рассылок по существующей базе контактов и определить допустимые альтернативные стратегии работы с аудиторией.</w:t>
      </w:r>
    </w:p>
    <w:p>
      <w:r>
        <w:pict>
          <v:rect style="width:0;height:1.5pt" o:hralign="center" o:hrstd="t" o:hr="t"/>
        </w:pict>
      </w:r>
    </w:p>
    <w:bookmarkStart w:id="23" w:name="законодательная-база"/>
    <w:p>
      <w:pPr>
        <w:pStyle w:val="Heading2"/>
      </w:pPr>
      <w:r>
        <w:t xml:space="preserve">1. ЗАКОНОДАТЕЛЬНАЯ БАЗА</w:t>
      </w:r>
    </w:p>
    <w:p>
      <w:pPr>
        <w:pStyle w:val="FirstParagraph"/>
      </w:pPr>
      <w:r>
        <w:t xml:space="preserve">Деятельность по рассылке рекламных и маркетинговых материалов в Российской Федерации регулируется тремя ключевыми нормативными актами, нарушение каждого из которых влечёт самостоятельную административную ответственность.</w:t>
      </w:r>
    </w:p>
    <w:bookmarkStart w:id="20" w:name="Xc732f1c85bef3667e3bfbbf8887e9a61b950521"/>
    <w:p>
      <w:pPr>
        <w:pStyle w:val="Heading3"/>
      </w:pPr>
      <w:r>
        <w:t xml:space="preserve">1.1. Федеральный закон от 13.03.2006 № 38-ФЗ «О рекламе» — статья 18</w:t>
      </w:r>
    </w:p>
    <w:p>
      <w:pPr>
        <w:pStyle w:val="FirstParagraph"/>
      </w:pPr>
      <w:r>
        <w:t xml:space="preserve">Статья 18 («Реклама, распространяемая по сетям электросвязи») устанавливает:</w:t>
      </w:r>
    </w:p>
    <w:p>
      <w:pPr>
        <w:pStyle w:val="BlockText"/>
      </w:pPr>
      <w:r>
        <w:rPr>
          <w:iCs/>
          <w:i/>
        </w:rPr>
        <w:t xml:space="preserve">«Распространение рекламы по сетям электросвязи, в том числе посредством использования телефонной, факсимильной, подвижной радиотелефонной связи, допускается только при условии предварительного согласия абонента или адресата на получение рекламы. При этом реклама признаётся распространённой без предварительного согласия абонента или адресата, если рекламораспространитель не докажет, что такое согласие было получено.»</w:t>
      </w:r>
    </w:p>
    <w:p>
      <w:pPr>
        <w:pStyle w:val="FirstParagraph"/>
      </w:pPr>
      <w:r>
        <w:t xml:space="preserve">Закон также прямо запрещает:</w:t>
      </w:r>
      <w:r>
        <w:t xml:space="preserve"> </w:t>
      </w:r>
      <w:r>
        <w:t xml:space="preserve">- использование электросвязи для рассылки</w:t>
      </w:r>
      <w:r>
        <w:t xml:space="preserve"> </w:t>
      </w:r>
      <w:r>
        <w:rPr>
          <w:bCs/>
          <w:b/>
        </w:rPr>
        <w:t xml:space="preserve">без участия человека</w:t>
      </w:r>
      <w:r>
        <w:t xml:space="preserve"> </w:t>
      </w:r>
      <w:r>
        <w:t xml:space="preserve">(автоматическое дозванивание, автоматическая рассылка без индивидуального согласия);</w:t>
      </w:r>
      <w:r>
        <w:t xml:space="preserve"> </w:t>
      </w:r>
      <w:r>
        <w:t xml:space="preserve">- отказ от прекращения рассылки после соответствующего требования адресата.</w:t>
      </w:r>
    </w:p>
    <w:p>
      <w:pPr>
        <w:pStyle w:val="BodyText"/>
      </w:pPr>
      <w:r>
        <w:t xml:space="preserve">Действие нормы распространяется на</w:t>
      </w:r>
      <w:r>
        <w:t xml:space="preserve"> </w:t>
      </w:r>
      <w:r>
        <w:rPr>
          <w:bCs/>
          <w:b/>
        </w:rPr>
        <w:t xml:space="preserve">все каналы</w:t>
      </w:r>
      <w:r>
        <w:t xml:space="preserve">: email, SMS, мессенджеры, push-уведомления, голосовые звонки.</w:t>
      </w:r>
    </w:p>
    <w:bookmarkEnd w:id="20"/>
    <w:bookmarkStart w:id="21" w:name="X8b5816b27f570a0defae11a8b81de5be37f874d"/>
    <w:p>
      <w:pPr>
        <w:pStyle w:val="Heading3"/>
      </w:pPr>
      <w:r>
        <w:t xml:space="preserve">1.2. Федеральный закон от 27.07.2006 № 152-ФЗ «О персональных данных»</w:t>
      </w:r>
    </w:p>
    <w:p>
      <w:pPr>
        <w:pStyle w:val="FirstParagraph"/>
      </w:pPr>
      <w:r>
        <w:t xml:space="preserve">Адрес электронной почты, номер телефона, имя и фамилия — персональные данные по смыслу статьи 3 Закона. Их сбор, хранение, передача и использование для рассылок требуют:</w:t>
      </w:r>
      <w:r>
        <w:t xml:space="preserve"> </w:t>
      </w:r>
      <w:r>
        <w:t xml:space="preserve">- письменного (в т.ч. электронного) согласия субъекта на</w:t>
      </w:r>
      <w:r>
        <w:t xml:space="preserve"> </w:t>
      </w:r>
      <w:r>
        <w:rPr>
          <w:bCs/>
          <w:b/>
        </w:rPr>
        <w:t xml:space="preserve">каждую цель обработки</w:t>
      </w:r>
      <w:r>
        <w:t xml:space="preserve"> </w:t>
      </w:r>
      <w:r>
        <w:t xml:space="preserve">(ст. 9);</w:t>
      </w:r>
      <w:r>
        <w:t xml:space="preserve"> </w:t>
      </w:r>
      <w:r>
        <w:t xml:space="preserve">- уведомления Роскомнадзора об операторе персональных данных (ст. 22);</w:t>
      </w:r>
      <w:r>
        <w:t xml:space="preserve"> </w:t>
      </w:r>
      <w:r>
        <w:t xml:space="preserve">- хранения баз данных с персональными данными граждан РФ на серверах, физически расположенных</w:t>
      </w:r>
      <w:r>
        <w:t xml:space="preserve"> </w:t>
      </w:r>
      <w:r>
        <w:rPr>
          <w:bCs/>
          <w:b/>
        </w:rPr>
        <w:t xml:space="preserve">на территории РФ</w:t>
      </w:r>
      <w:r>
        <w:t xml:space="preserve"> </w:t>
      </w:r>
      <w:r>
        <w:t xml:space="preserve">(ст. 18.1, «требование локализации»);</w:t>
      </w:r>
      <w:r>
        <w:t xml:space="preserve"> </w:t>
      </w:r>
      <w:r>
        <w:t xml:space="preserve">- наличия Политики конфиденциальности, опубликованной в открытом доступе.</w:t>
      </w:r>
    </w:p>
    <w:bookmarkEnd w:id="21"/>
    <w:bookmarkStart w:id="22" w:name="X9f59e41b92e166dd85d4963312e66446674fa70"/>
    <w:p>
      <w:pPr>
        <w:pStyle w:val="Heading3"/>
      </w:pPr>
      <w:r>
        <w:t xml:space="preserve">1.3. Кодекс Российской Федерации об административных правонарушениях</w:t>
      </w:r>
    </w:p>
    <w:p>
      <w:pPr>
        <w:pStyle w:val="FirstParagraph"/>
      </w:pPr>
      <w:r>
        <w:t xml:space="preserve">Ответственность за нарушения наступает по двум статьям:</w:t>
      </w:r>
      <w:r>
        <w:t xml:space="preserve"> </w:t>
      </w:r>
      <w:r>
        <w:t xml:space="preserve">-</w:t>
      </w:r>
      <w:r>
        <w:t xml:space="preserve"> </w:t>
      </w:r>
      <w:r>
        <w:rPr>
          <w:bCs/>
          <w:b/>
        </w:rPr>
        <w:t xml:space="preserve">Статья 14.3</w:t>
      </w:r>
      <w:r>
        <w:t xml:space="preserve"> </w:t>
      </w:r>
      <w:r>
        <w:t xml:space="preserve">— нарушение законодательства о рекламе (применяет ФАС России);</w:t>
      </w:r>
      <w:r>
        <w:t xml:space="preserve"> </w:t>
      </w:r>
      <w:r>
        <w:t xml:space="preserve">-</w:t>
      </w:r>
      <w:r>
        <w:t xml:space="preserve"> </w:t>
      </w:r>
      <w:r>
        <w:rPr>
          <w:bCs/>
          <w:b/>
        </w:rPr>
        <w:t xml:space="preserve">Статья 13.11</w:t>
      </w:r>
      <w:r>
        <w:t xml:space="preserve"> </w:t>
      </w:r>
      <w:r>
        <w:t xml:space="preserve">— нарушения в области персональных данных (применяет Роскомнадзор).</w:t>
      </w:r>
    </w:p>
    <w:p>
      <w:r>
        <w:pict>
          <v:rect style="width:0;height:1.5pt" o:hralign="center" o:hrstd="t" o:hr="t"/>
        </w:pict>
      </w:r>
    </w:p>
    <w:bookmarkEnd w:id="22"/>
    <w:bookmarkEnd w:id="23"/>
    <w:bookmarkStart w:id="28" w:name="X4b525965c3fc33b1f5c532be7e3299aeb489c7d"/>
    <w:p>
      <w:pPr>
        <w:pStyle w:val="Heading2"/>
      </w:pPr>
      <w:r>
        <w:t xml:space="preserve">2. РИСК № 1 — РАССЫЛКА БЕЗ СОГЛАСИЯ (ФЗ-38, СТ. 18 + КоАП СТ. 14.3)</w:t>
      </w:r>
    </w:p>
    <w:bookmarkStart w:id="24" w:name="суть-нарушения"/>
    <w:p>
      <w:pPr>
        <w:pStyle w:val="Heading3"/>
      </w:pPr>
      <w:r>
        <w:t xml:space="preserve">Суть нарушения</w:t>
      </w:r>
    </w:p>
    <w:p>
      <w:pPr>
        <w:pStyle w:val="FirstParagraph"/>
      </w:pPr>
      <w:r>
        <w:t xml:space="preserve">Любая рекламная рассылка по базе, в отношении которой отсутствует</w:t>
      </w:r>
      <w:r>
        <w:t xml:space="preserve"> </w:t>
      </w:r>
      <w:r>
        <w:rPr>
          <w:bCs/>
          <w:b/>
        </w:rPr>
        <w:t xml:space="preserve">документально подтверждённое</w:t>
      </w:r>
      <w:r>
        <w:t xml:space="preserve"> </w:t>
      </w:r>
      <w:r>
        <w:t xml:space="preserve">согласие получателя, является нарушением ст. 18 ФЗ-38 вне зависимости от того, является ли адресат клиентом компании, участником мероприятия или просто контактом из CRM.</w:t>
      </w:r>
    </w:p>
    <w:p>
      <w:pPr>
        <w:pStyle w:val="BodyText"/>
      </w:pPr>
      <w:r>
        <w:t xml:space="preserve">Закон прямо устанавливает</w:t>
      </w:r>
      <w:r>
        <w:t xml:space="preserve"> </w:t>
      </w:r>
      <w:r>
        <w:rPr>
          <w:bCs/>
          <w:b/>
        </w:rPr>
        <w:t xml:space="preserve">инверсию бремени доказывания</w:t>
      </w:r>
      <w:r>
        <w:t xml:space="preserve">: компания обязана доказать наличие согласия, а не жалующийся — доказать его отсутствие. Если согласие было получено устно, не зафиксировано или зафиксировано ненадлежащим образом — в глазах закона его нет.</w:t>
      </w:r>
    </w:p>
    <w:bookmarkEnd w:id="24"/>
    <w:bookmarkStart w:id="25" w:name="что-не-является-надлежащим-согласием"/>
    <w:p>
      <w:pPr>
        <w:pStyle w:val="Heading3"/>
      </w:pPr>
      <w:r>
        <w:t xml:space="preserve">Что не является надлежащим согласием</w:t>
      </w:r>
    </w:p>
    <w:p>
      <w:pPr>
        <w:numPr>
          <w:ilvl w:val="0"/>
          <w:numId w:val="1001"/>
        </w:numPr>
        <w:pStyle w:val="Compact"/>
      </w:pPr>
      <w:r>
        <w:t xml:space="preserve">Галочка,</w:t>
      </w:r>
      <w:r>
        <w:t xml:space="preserve"> </w:t>
      </w:r>
      <w:r>
        <w:rPr>
          <w:bCs/>
          <w:b/>
        </w:rPr>
        <w:t xml:space="preserve">проставленная по умолчанию</w:t>
      </w:r>
      <w:r>
        <w:t xml:space="preserve"> </w:t>
      </w:r>
      <w:r>
        <w:t xml:space="preserve">при регистрации или оформлении заказа.</w:t>
      </w:r>
    </w:p>
    <w:p>
      <w:pPr>
        <w:numPr>
          <w:ilvl w:val="0"/>
          <w:numId w:val="1001"/>
        </w:numPr>
        <w:pStyle w:val="Compact"/>
      </w:pPr>
      <w:r>
        <w:t xml:space="preserve">Согласие на рекламу,</w:t>
      </w:r>
      <w:r>
        <w:t xml:space="preserve"> </w:t>
      </w:r>
      <w:r>
        <w:rPr>
          <w:bCs/>
          <w:b/>
        </w:rPr>
        <w:t xml:space="preserve">вшитое в текст пользовательского соглашения</w:t>
      </w:r>
      <w:r>
        <w:t xml:space="preserve"> </w:t>
      </w:r>
      <w:r>
        <w:t xml:space="preserve">как обязательное условие.</w:t>
      </w:r>
    </w:p>
    <w:p>
      <w:pPr>
        <w:numPr>
          <w:ilvl w:val="0"/>
          <w:numId w:val="1001"/>
        </w:numPr>
        <w:pStyle w:val="Compact"/>
      </w:pPr>
      <w:r>
        <w:t xml:space="preserve">Устная договорённость без письменной фиксации.</w:t>
      </w:r>
    </w:p>
    <w:p>
      <w:pPr>
        <w:numPr>
          <w:ilvl w:val="0"/>
          <w:numId w:val="1001"/>
        </w:numPr>
        <w:pStyle w:val="Compact"/>
      </w:pPr>
      <w:r>
        <w:t xml:space="preserve">Факт оставления визитной карточки или участия в мероприятии.</w:t>
      </w:r>
    </w:p>
    <w:p>
      <w:pPr>
        <w:numPr>
          <w:ilvl w:val="0"/>
          <w:numId w:val="1001"/>
        </w:numPr>
        <w:pStyle w:val="Compact"/>
      </w:pPr>
      <w:r>
        <w:t xml:space="preserve">Наличие контакта в базе данных без подтверждённого источника и даты согласия.</w:t>
      </w:r>
    </w:p>
    <w:bookmarkEnd w:id="25"/>
    <w:bookmarkStart w:id="26" w:name="X372c40913e9f2c6cb4e0e2ad98d3bd2278fd42c"/>
    <w:p>
      <w:pPr>
        <w:pStyle w:val="Heading3"/>
      </w:pPr>
      <w:r>
        <w:t xml:space="preserve">Размер санкций (ст. 14.3 КоАП РФ, ч. 4.1 — актуальная редакция)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Субъект</w:t>
            </w:r>
          </w:p>
        </w:tc>
        <w:tc>
          <w:tcPr/>
          <w:p>
            <w:pPr>
              <w:pStyle w:val="Compact"/>
              <w:jc w:val="left"/>
            </w:pPr>
            <w:r>
              <w:t xml:space="preserve">Размер штрафа</w:t>
            </w:r>
          </w:p>
        </w:tc>
      </w:tr>
      <w:tr>
        <w:tc>
          <w:tcPr/>
          <w:p>
            <w:pPr>
              <w:pStyle w:val="Compact"/>
              <w:jc w:val="left"/>
            </w:pPr>
            <w:r>
              <w:t xml:space="preserve">Физическое лицо</w:t>
            </w:r>
          </w:p>
        </w:tc>
        <w:tc>
          <w:tcPr/>
          <w:p>
            <w:pPr>
              <w:pStyle w:val="Compact"/>
              <w:jc w:val="left"/>
            </w:pPr>
            <w:r>
              <w:t xml:space="preserve">от 10 000 до 20 000 руб.</w:t>
            </w:r>
          </w:p>
        </w:tc>
      </w:tr>
      <w:tr>
        <w:tc>
          <w:tcPr/>
          <w:p>
            <w:pPr>
              <w:pStyle w:val="Compact"/>
              <w:jc w:val="left"/>
            </w:pPr>
            <w:r>
              <w:t xml:space="preserve">Должностное лицо</w:t>
            </w:r>
          </w:p>
        </w:tc>
        <w:tc>
          <w:tcPr/>
          <w:p>
            <w:pPr>
              <w:pStyle w:val="Compact"/>
              <w:jc w:val="left"/>
            </w:pPr>
            <w:r>
              <w:t xml:space="preserve">от 20 000 до 100 000 руб.</w:t>
            </w:r>
          </w:p>
        </w:tc>
      </w:tr>
      <w:tr>
        <w:tc>
          <w:tcPr/>
          <w:p>
            <w:pPr>
              <w:pStyle w:val="Compact"/>
              <w:jc w:val="left"/>
            </w:pPr>
            <w:r>
              <w:t xml:space="preserve">Юридическое лицо</w:t>
            </w:r>
          </w:p>
        </w:tc>
        <w:tc>
          <w:tcPr/>
          <w:p>
            <w:pPr>
              <w:pStyle w:val="Compact"/>
              <w:jc w:val="left"/>
            </w:pPr>
            <w:r>
              <w:rPr>
                <w:bCs/>
                <w:b/>
              </w:rPr>
              <w:t xml:space="preserve">от 300 000 до 1 000 000 руб.</w:t>
            </w:r>
          </w:p>
        </w:tc>
      </w:tr>
      <w:tr>
        <w:tc>
          <w:tcPr/>
          <w:p>
            <w:pPr>
              <w:pStyle w:val="Compact"/>
              <w:jc w:val="left"/>
            </w:pPr>
            <w:r>
              <w:t xml:space="preserve">Кредитные и финансовые организации</w:t>
            </w:r>
          </w:p>
        </w:tc>
        <w:tc>
          <w:tcPr/>
          <w:p>
            <w:pPr>
              <w:pStyle w:val="Compact"/>
              <w:jc w:val="left"/>
            </w:pPr>
            <w:r>
              <w:t xml:space="preserve">от 600 000 до 1 600 000 руб.</w:t>
            </w:r>
          </w:p>
        </w:tc>
      </w:tr>
    </w:tbl>
    <w:p>
      <w:pPr>
        <w:pStyle w:val="BodyText"/>
      </w:pPr>
      <w:r>
        <w:rPr>
          <w:bCs/>
          <w:b/>
        </w:rPr>
        <w:t xml:space="preserve">Критически важно:</w:t>
      </w:r>
      <w:r>
        <w:t xml:space="preserve"> </w:t>
      </w:r>
      <w:r>
        <w:t xml:space="preserve">штраф назначается</w:t>
      </w:r>
      <w:r>
        <w:t xml:space="preserve"> </w:t>
      </w:r>
      <w:r>
        <w:rPr>
          <w:bCs/>
          <w:b/>
        </w:rPr>
        <w:t xml:space="preserve">за каждый доказанный факт нарушения</w:t>
      </w:r>
      <w:r>
        <w:t xml:space="preserve">. Если ФАС рассмотрит 10 обоснованных жалоб, совокупный штраф может составить до 10 000 000 рублей.</w:t>
      </w:r>
    </w:p>
    <w:bookmarkEnd w:id="26"/>
    <w:bookmarkStart w:id="27" w:name="механизм-привлечения-к-ответственности"/>
    <w:p>
      <w:pPr>
        <w:pStyle w:val="Heading3"/>
      </w:pPr>
      <w:r>
        <w:t xml:space="preserve">Механизм привлечения к ответственности</w:t>
      </w:r>
    </w:p>
    <w:p>
      <w:pPr>
        <w:numPr>
          <w:ilvl w:val="0"/>
          <w:numId w:val="1002"/>
        </w:numPr>
        <w:pStyle w:val="Compact"/>
      </w:pPr>
      <w:r>
        <w:t xml:space="preserve">Любой получатель нежелательного рекламного сообщения вправе подать жалобу в территориальное управление ФАС России.</w:t>
      </w:r>
    </w:p>
    <w:p>
      <w:pPr>
        <w:numPr>
          <w:ilvl w:val="0"/>
          <w:numId w:val="1002"/>
        </w:numPr>
        <w:pStyle w:val="Compact"/>
      </w:pPr>
      <w:r>
        <w:t xml:space="preserve">ФАС возбуждает дело, запрашивает у компании доказательства согласия.</w:t>
      </w:r>
    </w:p>
    <w:p>
      <w:pPr>
        <w:numPr>
          <w:ilvl w:val="0"/>
          <w:numId w:val="1002"/>
        </w:numPr>
        <w:pStyle w:val="Compact"/>
      </w:pPr>
      <w:r>
        <w:t xml:space="preserve">Если компания не представляет надлежащих доказательств — выносится постановление о штрафе.</w:t>
      </w:r>
    </w:p>
    <w:p>
      <w:pPr>
        <w:numPr>
          <w:ilvl w:val="0"/>
          <w:numId w:val="1002"/>
        </w:numPr>
        <w:pStyle w:val="Compact"/>
      </w:pPr>
      <w:r>
        <w:t xml:space="preserve">Судебная практика устойчива: суды поддерживают позицию ФАС в подавляющем большинстве дел при отсутствии документации о согласии.</w:t>
      </w:r>
    </w:p>
    <w:p>
      <w:r>
        <w:pict>
          <v:rect style="width:0;height:1.5pt" o:hralign="center" o:hrstd="t" o:hr="t"/>
        </w:pict>
      </w:r>
    </w:p>
    <w:bookmarkEnd w:id="27"/>
    <w:bookmarkEnd w:id="28"/>
    <w:bookmarkStart w:id="31" w:name="X68c89aa1127acd5029c092c095745f5d2fcbb2a"/>
    <w:p>
      <w:pPr>
        <w:pStyle w:val="Heading2"/>
      </w:pPr>
      <w:r>
        <w:t xml:space="preserve">3. РИСК № 2 — НАРУШЕНИЯ В ОБЛАСТИ ПЕРСОНАЛЬНЫХ ДАННЫХ (ФЗ-152 + КоАП СТ. 13.11)</w:t>
      </w:r>
    </w:p>
    <w:p>
      <w:pPr>
        <w:pStyle w:val="FirstParagraph"/>
      </w:pPr>
      <w:r>
        <w:t xml:space="preserve">Даже если компания не рассылает рекламу, сам факт хранения и использования email-адресов и телефонов без надлежащего правового основания является нарушением ФЗ-152.</w:t>
      </w:r>
    </w:p>
    <w:bookmarkStart w:id="29" w:name="X5eb99c44f39fdcaaa919762d388f5b56eb6c86f"/>
    <w:p>
      <w:pPr>
        <w:pStyle w:val="Heading3"/>
      </w:pPr>
      <w:r>
        <w:t xml:space="preserve">Штрафы по статье 13.11 КоАП РФ (в редакции, действующей с 30 мая 2025 года)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Состав нарушения</w:t>
            </w:r>
          </w:p>
        </w:tc>
        <w:tc>
          <w:tcPr/>
          <w:p>
            <w:pPr>
              <w:pStyle w:val="Compact"/>
              <w:jc w:val="left"/>
            </w:pPr>
            <w:r>
              <w:t xml:space="preserve">Штраф для юридического лица</w:t>
            </w:r>
          </w:p>
        </w:tc>
      </w:tr>
      <w:tr>
        <w:tc>
          <w:tcPr/>
          <w:p>
            <w:pPr>
              <w:pStyle w:val="Compact"/>
              <w:jc w:val="left"/>
            </w:pPr>
            <w:r>
              <w:t xml:space="preserve">Обработка ПД без законного основания (ч. 1)</w:t>
            </w:r>
          </w:p>
        </w:tc>
        <w:tc>
          <w:tcPr/>
          <w:p>
            <w:pPr>
              <w:pStyle w:val="Compact"/>
              <w:jc w:val="left"/>
            </w:pPr>
            <w:r>
              <w:t xml:space="preserve">150 000 — 300 000 руб.</w:t>
            </w:r>
          </w:p>
        </w:tc>
      </w:tr>
      <w:tr>
        <w:tc>
          <w:tcPr/>
          <w:p>
            <w:pPr>
              <w:pStyle w:val="Compact"/>
              <w:jc w:val="left"/>
            </w:pPr>
            <w:r>
              <w:t xml:space="preserve">Повторное нарушение ч. 1 (ч. 1.1)</w:t>
            </w:r>
          </w:p>
        </w:tc>
        <w:tc>
          <w:tcPr/>
          <w:p>
            <w:pPr>
              <w:pStyle w:val="Compact"/>
              <w:jc w:val="left"/>
            </w:pPr>
            <w:r>
              <w:t xml:space="preserve">300 000 — 500 000 руб.</w:t>
            </w:r>
          </w:p>
        </w:tc>
      </w:tr>
      <w:tr>
        <w:tc>
          <w:tcPr/>
          <w:p>
            <w:pPr>
              <w:pStyle w:val="Compact"/>
              <w:jc w:val="left"/>
            </w:pPr>
            <w:r>
              <w:t xml:space="preserve">Обработка без письменного согласия (ч. 2)</w:t>
            </w:r>
          </w:p>
        </w:tc>
        <w:tc>
          <w:tcPr/>
          <w:p>
            <w:pPr>
              <w:pStyle w:val="Compact"/>
              <w:jc w:val="left"/>
            </w:pPr>
            <w:r>
              <w:t xml:space="preserve">300 000 — 700 000 руб.</w:t>
            </w:r>
          </w:p>
        </w:tc>
      </w:tr>
      <w:tr>
        <w:tc>
          <w:tcPr/>
          <w:p>
            <w:pPr>
              <w:pStyle w:val="Compact"/>
              <w:jc w:val="left"/>
            </w:pPr>
            <w:r>
              <w:t xml:space="preserve">Повторное нарушение ч. 2 (ч. 2.1)</w:t>
            </w:r>
          </w:p>
        </w:tc>
        <w:tc>
          <w:tcPr/>
          <w:p>
            <w:pPr>
              <w:pStyle w:val="Compact"/>
              <w:jc w:val="left"/>
            </w:pPr>
            <w:r>
              <w:t xml:space="preserve">1 000 000 — 1 500 000 руб.</w:t>
            </w:r>
          </w:p>
        </w:tc>
      </w:tr>
      <w:tr>
        <w:tc>
          <w:tcPr/>
          <w:p>
            <w:pPr>
              <w:pStyle w:val="Compact"/>
              <w:jc w:val="left"/>
            </w:pPr>
            <w:r>
              <w:t xml:space="preserve">Хранение базы за пределами РФ (ч. 8)</w:t>
            </w:r>
          </w:p>
        </w:tc>
        <w:tc>
          <w:tcPr/>
          <w:p>
            <w:pPr>
              <w:pStyle w:val="Compact"/>
              <w:jc w:val="left"/>
            </w:pPr>
            <w:r>
              <w:t xml:space="preserve">1 000 000 — 6 000 000 руб.</w:t>
            </w:r>
          </w:p>
        </w:tc>
      </w:tr>
      <w:tr>
        <w:tc>
          <w:tcPr/>
          <w:p>
            <w:pPr>
              <w:pStyle w:val="Compact"/>
              <w:jc w:val="left"/>
            </w:pPr>
            <w:r>
              <w:t xml:space="preserve">Повторное нарушение ч. 8 (ч. 9)</w:t>
            </w:r>
          </w:p>
        </w:tc>
        <w:tc>
          <w:tcPr/>
          <w:p>
            <w:pPr>
              <w:pStyle w:val="Compact"/>
              <w:jc w:val="left"/>
            </w:pPr>
            <w:r>
              <w:t xml:space="preserve">6 000 000 — 18 000 000 руб.</w:t>
            </w:r>
          </w:p>
        </w:tc>
      </w:tr>
    </w:tbl>
    <w:bookmarkEnd w:id="29"/>
    <w:bookmarkStart w:id="30" w:name="X213841ef03a48f551c2480e3bd112175000712a"/>
    <w:p>
      <w:pPr>
        <w:pStyle w:val="Heading3"/>
      </w:pPr>
      <w:r>
        <w:t xml:space="preserve">Штрафы за утечки данных (оборотные, с 30 мая 2025 года)</w:t>
      </w:r>
    </w:p>
    <w:tbl>
      <w:tblPr>
        <w:tblStyle w:val="Table"/>
        <w:tblW w:type="pct" w:w="5000"/>
        <w:tblLook w:firstRow="1" w:lastRow="0" w:firstColumn="0" w:lastColumn="0" w:noHBand="0" w:noVBand="0" w:val="0020"/>
        <w:jc w:val="start"/>
      </w:tblPr>
      <w:tblGrid>
        <w:gridCol w:w="5509"/>
        <w:gridCol w:w="2410"/>
      </w:tblGrid>
      <w:tr>
        <w:trPr>
          <w:tblHeader w:val="true"/>
        </w:trPr>
        <w:tc>
          <w:tcPr/>
          <w:p>
            <w:pPr>
              <w:pStyle w:val="Compact"/>
              <w:jc w:val="left"/>
            </w:pPr>
            <w:r>
              <w:t xml:space="preserve">Масштаб утечки</w:t>
            </w:r>
          </w:p>
        </w:tc>
        <w:tc>
          <w:tcPr/>
          <w:p>
            <w:pPr>
              <w:pStyle w:val="Compact"/>
              <w:jc w:val="left"/>
            </w:pPr>
            <w:r>
              <w:t xml:space="preserve">Штраф</w:t>
            </w:r>
          </w:p>
        </w:tc>
      </w:tr>
      <w:tr>
        <w:tc>
          <w:tcPr/>
          <w:p>
            <w:pPr>
              <w:pStyle w:val="Compact"/>
              <w:jc w:val="left"/>
            </w:pPr>
            <w:r>
              <w:t xml:space="preserve">1 000 — 10 000 субъектов (ч. 12)</w:t>
            </w:r>
          </w:p>
        </w:tc>
        <w:tc>
          <w:tcPr/>
          <w:p>
            <w:pPr>
              <w:pStyle w:val="Compact"/>
              <w:jc w:val="left"/>
            </w:pPr>
            <w:r>
              <w:t xml:space="preserve">3 000 000 — 5 000 000 руб.</w:t>
            </w:r>
          </w:p>
        </w:tc>
      </w:tr>
      <w:tr>
        <w:tc>
          <w:tcPr/>
          <w:p>
            <w:pPr>
              <w:pStyle w:val="Compact"/>
              <w:jc w:val="left"/>
            </w:pPr>
            <w:r>
              <w:t xml:space="preserve">10 000 — 100 000 субъектов (ч. 13)</w:t>
            </w:r>
          </w:p>
        </w:tc>
        <w:tc>
          <w:tcPr/>
          <w:p>
            <w:pPr>
              <w:pStyle w:val="Compact"/>
              <w:jc w:val="left"/>
            </w:pPr>
            <w:r>
              <w:t xml:space="preserve">5 000 000 — 10 000 000 руб.</w:t>
            </w:r>
          </w:p>
        </w:tc>
      </w:tr>
      <w:tr>
        <w:tc>
          <w:tcPr/>
          <w:p>
            <w:pPr>
              <w:pStyle w:val="Compact"/>
              <w:jc w:val="left"/>
            </w:pPr>
            <w:r>
              <w:t xml:space="preserve">Более 100 000 субъектов (ч. 14)</w:t>
            </w:r>
          </w:p>
        </w:tc>
        <w:tc>
          <w:tcPr/>
          <w:p>
            <w:pPr>
              <w:pStyle w:val="Compact"/>
              <w:jc w:val="left"/>
            </w:pPr>
            <w:r>
              <w:t xml:space="preserve">10 000 000 — 15 000 000 руб.</w:t>
            </w:r>
          </w:p>
        </w:tc>
      </w:tr>
      <w:tr>
        <w:tc>
          <w:tcPr/>
          <w:p>
            <w:pPr>
              <w:pStyle w:val="Compact"/>
              <w:jc w:val="left"/>
            </w:pPr>
            <w:r>
              <w:t xml:space="preserve">Повторные нарушения (ч. 15, 18)</w:t>
            </w:r>
          </w:p>
        </w:tc>
        <w:tc>
          <w:tcPr/>
          <w:p>
            <w:pPr>
              <w:pStyle w:val="Compact"/>
              <w:jc w:val="left"/>
            </w:pPr>
            <w:r>
              <w:rPr>
                <w:bCs/>
                <w:b/>
              </w:rPr>
              <w:t xml:space="preserve">от 1% до 3% годовой выручки</w:t>
            </w:r>
            <w:r>
              <w:t xml:space="preserve">, но не более 500 000 000 руб.</w:t>
            </w:r>
          </w:p>
        </w:tc>
      </w:tr>
    </w:tbl>
    <w:p>
      <w:pPr>
        <w:pStyle w:val="BodyText"/>
      </w:pPr>
      <w:r>
        <w:t xml:space="preserve">Дополнительно: с марта 2023 года введена обязательная</w:t>
      </w:r>
      <w:r>
        <w:t xml:space="preserve"> </w:t>
      </w:r>
      <w:r>
        <w:rPr>
          <w:bCs/>
          <w:b/>
        </w:rPr>
        <w:t xml:space="preserve">нотификация Роскомнадзора в течение 24 часов</w:t>
      </w:r>
      <w:r>
        <w:t xml:space="preserve"> </w:t>
      </w:r>
      <w:r>
        <w:t xml:space="preserve">с момента обнаружения утечки персональных данных. Нарушение этого требования — отдельный состав.</w:t>
      </w:r>
    </w:p>
    <w:p>
      <w:r>
        <w:pict>
          <v:rect style="width:0;height:1.5pt" o:hralign="center" o:hrstd="t" o:hr="t"/>
        </w:pict>
      </w:r>
    </w:p>
    <w:bookmarkEnd w:id="30"/>
    <w:bookmarkEnd w:id="31"/>
    <w:bookmarkStart w:id="35" w:name="Xfa586f16a589f5ceb9e92e83c89c1a9ac5da97a"/>
    <w:p>
      <w:pPr>
        <w:pStyle w:val="Heading2"/>
      </w:pPr>
      <w:r>
        <w:t xml:space="preserve">4. РИСК № 3 — ПРОБЛЕМА СУЩЕСТВУЮЩЕЙ БАЗЫ КОНТАКТОВ</w:t>
      </w:r>
    </w:p>
    <w:bookmarkStart w:id="32" w:name="характеристика-риска"/>
    <w:p>
      <w:pPr>
        <w:pStyle w:val="Heading3"/>
      </w:pPr>
      <w:r>
        <w:t xml:space="preserve">Характеристика риска</w:t>
      </w:r>
    </w:p>
    <w:p>
      <w:pPr>
        <w:pStyle w:val="FirstParagraph"/>
      </w:pPr>
      <w:r>
        <w:t xml:space="preserve">Существующая база контактов, сформированная без системной работы по фиксации согласий, представляет собой</w:t>
      </w:r>
      <w:r>
        <w:t xml:space="preserve"> </w:t>
      </w:r>
      <w:r>
        <w:rPr>
          <w:bCs/>
          <w:b/>
        </w:rPr>
        <w:t xml:space="preserve">смешанный массив</w:t>
      </w:r>
      <w:r>
        <w:t xml:space="preserve"> </w:t>
      </w:r>
      <w:r>
        <w:t xml:space="preserve">с неопределённым правовым статусом каждой записи. При использовании такой базы для рекламных рассылок компания одновременно подвергает себя рискам по ФЗ-38 и ФЗ-152.</w:t>
      </w:r>
    </w:p>
    <w:bookmarkEnd w:id="32"/>
    <w:bookmarkStart w:id="33" w:name="X55bb1b022343bf432e62df50f17aec88ad9fa87"/>
    <w:p>
      <w:pPr>
        <w:pStyle w:val="Heading3"/>
      </w:pPr>
      <w:r>
        <w:t xml:space="preserve">Типичные источники проблем при формировании баз</w:t>
      </w:r>
    </w:p>
    <w:tbl>
      <w:tblPr>
        <w:tblStyle w:val="Table"/>
        <w:tblW w:type="pct" w:w="5000"/>
        <w:tblLook w:firstRow="1" w:lastRow="0" w:firstColumn="0" w:lastColumn="0" w:noHBand="0" w:noVBand="0" w:val="0020"/>
        <w:jc w:val="start"/>
      </w:tblPr>
      <w:tblGrid>
        <w:gridCol w:w="2200"/>
        <w:gridCol w:w="5720"/>
      </w:tblGrid>
      <w:tr>
        <w:trPr>
          <w:tblHeader w:val="true"/>
        </w:trPr>
        <w:tc>
          <w:tcPr/>
          <w:p>
            <w:pPr>
              <w:pStyle w:val="Compact"/>
              <w:jc w:val="left"/>
            </w:pPr>
            <w:r>
              <w:t xml:space="preserve">Источник</w:t>
            </w:r>
          </w:p>
        </w:tc>
        <w:tc>
          <w:tcPr/>
          <w:p>
            <w:pPr>
              <w:pStyle w:val="Compact"/>
              <w:jc w:val="left"/>
            </w:pPr>
            <w:r>
              <w:t xml:space="preserve">Вероятный правовой дефект</w:t>
            </w:r>
          </w:p>
        </w:tc>
      </w:tr>
      <w:tr>
        <w:tc>
          <w:tcPr/>
          <w:p>
            <w:pPr>
              <w:pStyle w:val="Compact"/>
              <w:jc w:val="left"/>
            </w:pPr>
            <w:r>
              <w:t xml:space="preserve">Форма заявки/заказа на сайте без отдельного чекбокса на рекламу</w:t>
            </w:r>
          </w:p>
        </w:tc>
        <w:tc>
          <w:tcPr/>
          <w:p>
            <w:pPr>
              <w:pStyle w:val="Compact"/>
              <w:jc w:val="left"/>
            </w:pPr>
            <w:r>
              <w:t xml:space="preserve">Согласие на ПД ≠ согласие на рекламу</w:t>
            </w:r>
          </w:p>
        </w:tc>
      </w:tr>
      <w:tr>
        <w:tc>
          <w:tcPr/>
          <w:p>
            <w:pPr>
              <w:pStyle w:val="Compact"/>
              <w:jc w:val="left"/>
            </w:pPr>
            <w:r>
              <w:t xml:space="preserve">Чекбокс, проставленный по умолчанию</w:t>
            </w:r>
          </w:p>
        </w:tc>
        <w:tc>
          <w:tcPr/>
          <w:p>
            <w:pPr>
              <w:pStyle w:val="Compact"/>
              <w:jc w:val="left"/>
            </w:pPr>
            <w:r>
              <w:t xml:space="preserve">Не является волеизъявлением по ст. 9 ФЗ-152</w:t>
            </w:r>
          </w:p>
        </w:tc>
      </w:tr>
      <w:tr>
        <w:tc>
          <w:tcPr/>
          <w:p>
            <w:pPr>
              <w:pStyle w:val="Compact"/>
              <w:jc w:val="left"/>
            </w:pPr>
            <w:r>
              <w:t xml:space="preserve">Визитки, полученные на мероприятиях</w:t>
            </w:r>
          </w:p>
        </w:tc>
        <w:tc>
          <w:tcPr/>
          <w:p>
            <w:pPr>
              <w:pStyle w:val="Compact"/>
              <w:jc w:val="left"/>
            </w:pPr>
            <w:r>
              <w:t xml:space="preserve">Нет письменного согласия ни на что</w:t>
            </w:r>
          </w:p>
        </w:tc>
      </w:tr>
      <w:tr>
        <w:tc>
          <w:tcPr/>
          <w:p>
            <w:pPr>
              <w:pStyle w:val="Compact"/>
              <w:jc w:val="left"/>
            </w:pPr>
            <w:r>
              <w:t xml:space="preserve">Данные, переданные партнёрами</w:t>
            </w:r>
          </w:p>
        </w:tc>
        <w:tc>
          <w:tcPr/>
          <w:p>
            <w:pPr>
              <w:pStyle w:val="Compact"/>
              <w:jc w:val="left"/>
            </w:pPr>
            <w:r>
              <w:t xml:space="preserve">Требуется цепочка согласий, которой, как правило, нет</w:t>
            </w:r>
          </w:p>
        </w:tc>
      </w:tr>
      <w:tr>
        <w:tc>
          <w:tcPr/>
          <w:p>
            <w:pPr>
              <w:pStyle w:val="Compact"/>
              <w:jc w:val="left"/>
            </w:pPr>
            <w:r>
              <w:t xml:space="preserve">Ручной ввод менеджерами по итогам переговоров</w:t>
            </w:r>
          </w:p>
        </w:tc>
        <w:tc>
          <w:tcPr/>
          <w:p>
            <w:pPr>
              <w:pStyle w:val="Compact"/>
              <w:jc w:val="left"/>
            </w:pPr>
            <w:r>
              <w:t xml:space="preserve">Согласие не зафиксировано</w:t>
            </w:r>
          </w:p>
        </w:tc>
      </w:tr>
    </w:tbl>
    <w:bookmarkEnd w:id="33"/>
    <w:bookmarkStart w:id="34" w:name="кумулятивный-риск"/>
    <w:p>
      <w:pPr>
        <w:pStyle w:val="Heading3"/>
      </w:pPr>
      <w:r>
        <w:t xml:space="preserve">Кумулятивный риск</w:t>
      </w:r>
    </w:p>
    <w:p>
      <w:pPr>
        <w:pStyle w:val="FirstParagraph"/>
      </w:pPr>
      <w:r>
        <w:t xml:space="preserve">При одной рассылке по «серой» базе компания</w:t>
      </w:r>
      <w:r>
        <w:t xml:space="preserve"> </w:t>
      </w:r>
      <w:r>
        <w:rPr>
          <w:bCs/>
          <w:b/>
        </w:rPr>
        <w:t xml:space="preserve">одновременно</w:t>
      </w:r>
      <w:r>
        <w:t xml:space="preserve"> </w:t>
      </w:r>
      <w:r>
        <w:t xml:space="preserve">нарушает:</w:t>
      </w:r>
      <w:r>
        <w:t xml:space="preserve"> </w:t>
      </w:r>
      <w:r>
        <w:t xml:space="preserve">- ст. 18 ФЗ-38 (рассылка без согласия) → ФАС, штраф до 1 млн руб. за каждый факт;</w:t>
      </w:r>
      <w:r>
        <w:t xml:space="preserve"> </w:t>
      </w:r>
      <w:r>
        <w:t xml:space="preserve">- ст. 9 ФЗ-152 (использование ПД без надлежащего согласия) → РКН, штраф до 700 тыс. руб.</w:t>
      </w:r>
    </w:p>
    <w:p>
      <w:pPr>
        <w:pStyle w:val="BodyText"/>
      </w:pPr>
      <w:r>
        <w:t xml:space="preserve">Совокупный риск по одному инциденту с несколькими жалобами может исчисляться</w:t>
      </w:r>
      <w:r>
        <w:t xml:space="preserve"> </w:t>
      </w:r>
      <w:r>
        <w:rPr>
          <w:bCs/>
          <w:b/>
        </w:rPr>
        <w:t xml:space="preserve">несколькими миллионами рублей</w:t>
      </w:r>
      <w:r>
        <w:t xml:space="preserve">.</w:t>
      </w:r>
    </w:p>
    <w:p>
      <w:r>
        <w:pict>
          <v:rect style="width:0;height:1.5pt" o:hralign="center" o:hrstd="t" o:hr="t"/>
        </w:pict>
      </w:r>
    </w:p>
    <w:bookmarkEnd w:id="34"/>
    <w:bookmarkEnd w:id="35"/>
    <w:bookmarkStart w:id="41" w:name="X2d2076fe37814e90ccf29d18dd63a3c4107cc5b"/>
    <w:p>
      <w:pPr>
        <w:pStyle w:val="Heading2"/>
      </w:pPr>
      <w:r>
        <w:t xml:space="preserve">5. АЛЬТЕРНАТИВНЫЕ СТРАТЕГИИ РАБОТЫ С АУДИТОРИЕЙ</w:t>
      </w:r>
    </w:p>
    <w:bookmarkStart w:id="36" w:name="X6fd827d9c3bcb329fbe882d0a7b4ee6c188c94f"/>
    <w:p>
      <w:pPr>
        <w:pStyle w:val="Heading3"/>
      </w:pPr>
      <w:r>
        <w:t xml:space="preserve">Стратегия А — Реактивационная кампания (reconsent)</w:t>
      </w:r>
    </w:p>
    <w:p>
      <w:pPr>
        <w:pStyle w:val="FirstParagraph"/>
      </w:pPr>
      <w:r>
        <w:rPr>
          <w:bCs/>
          <w:b/>
        </w:rPr>
        <w:t xml:space="preserve">Суть:</w:t>
      </w:r>
      <w:r>
        <w:t xml:space="preserve"> </w:t>
      </w:r>
      <w:r>
        <w:t xml:space="preserve">направить по базе</w:t>
      </w:r>
      <w:r>
        <w:t xml:space="preserve"> </w:t>
      </w:r>
      <w:r>
        <w:rPr>
          <w:bCs/>
          <w:b/>
        </w:rPr>
        <w:t xml:space="preserve">одно информационное письмо</w:t>
      </w:r>
      <w:r>
        <w:t xml:space="preserve"> </w:t>
      </w:r>
      <w:r>
        <w:t xml:space="preserve">(не содержащее рекламы товаров и услуг) с предложением подтвердить подписку.</w:t>
      </w:r>
    </w:p>
    <w:p>
      <w:pPr>
        <w:pStyle w:val="BodyText"/>
      </w:pPr>
      <w:r>
        <w:rPr>
          <w:bCs/>
          <w:b/>
        </w:rPr>
        <w:t xml:space="preserve">Правовое обоснование:</w:t>
      </w:r>
      <w:r>
        <w:t xml:space="preserve"> </w:t>
      </w:r>
      <w:r>
        <w:t xml:space="preserve">такое письмо не является рекламой по смыслу ст. 3 ФЗ-38, поскольку не продвигает конкретный товар, услугу или организацию — оно содержит исключительно запрос волеизъявления.</w:t>
      </w:r>
    </w:p>
    <w:p>
      <w:pPr>
        <w:pStyle w:val="BodyText"/>
      </w:pPr>
      <w:r>
        <w:rPr>
          <w:bCs/>
          <w:b/>
        </w:rPr>
        <w:t xml:space="preserve">Требования к письму:</w:t>
      </w:r>
      <w:r>
        <w:t xml:space="preserve"> </w:t>
      </w:r>
      <w:r>
        <w:t xml:space="preserve">- Полное отсутствие рекламного контента (никаких предложений, скидок, анонсов).</w:t>
      </w:r>
      <w:r>
        <w:t xml:space="preserve"> </w:t>
      </w:r>
      <w:r>
        <w:t xml:space="preserve">- Идентификация отправителя: кто вы и как контакт оказался в базе.</w:t>
      </w:r>
      <w:r>
        <w:t xml:space="preserve"> </w:t>
      </w:r>
      <w:r>
        <w:t xml:space="preserve">- Чёткая кнопка «Подтверждаю подписку» с переходом на страницу фиксации согласия.</w:t>
      </w:r>
      <w:r>
        <w:t xml:space="preserve"> </w:t>
      </w:r>
      <w:r>
        <w:t xml:space="preserve">- Явное указание: отсутствие реакции = автоматическое удаление из базы рассылок.</w:t>
      </w:r>
    </w:p>
    <w:p>
      <w:pPr>
        <w:pStyle w:val="BodyText"/>
      </w:pPr>
      <w:r>
        <w:rPr>
          <w:bCs/>
          <w:b/>
        </w:rPr>
        <w:t xml:space="preserve">Результат:</w:t>
      </w:r>
      <w:r>
        <w:t xml:space="preserve"> </w:t>
      </w:r>
      <w:r>
        <w:t xml:space="preserve">подтвердившие согласие переходят в «зелёный» сегмент. Остальные архивируются с пометкой «нет подтверждения».</w:t>
      </w:r>
    </w:p>
    <w:p>
      <w:r>
        <w:pict>
          <v:rect style="width:0;height:1.5pt" o:hralign="center" o:hrstd="t" o:hr="t"/>
        </w:pict>
      </w:r>
    </w:p>
    <w:bookmarkEnd w:id="36"/>
    <w:bookmarkStart w:id="37" w:name="X3af8a519d5339e8980fc735fe225e040114924b"/>
    <w:p>
      <w:pPr>
        <w:pStyle w:val="Heading3"/>
      </w:pPr>
      <w:r>
        <w:t xml:space="preserve">Стратегия Б — Таргетированная реклама по базе</w:t>
      </w:r>
    </w:p>
    <w:p>
      <w:pPr>
        <w:pStyle w:val="FirstParagraph"/>
      </w:pPr>
      <w:r>
        <w:rPr>
          <w:bCs/>
          <w:b/>
        </w:rPr>
        <w:t xml:space="preserve">Суть:</w:t>
      </w:r>
      <w:r>
        <w:t xml:space="preserve"> </w:t>
      </w:r>
      <w:r>
        <w:t xml:space="preserve">загрузить базу контактов как пользовательскую аудиторию в рекламные кабинеты (ВКонтакте, Яндекс Директ, myTarget) и запустить показ рекламных объявлений.</w:t>
      </w:r>
    </w:p>
    <w:p>
      <w:pPr>
        <w:pStyle w:val="BodyText"/>
      </w:pPr>
      <w:r>
        <w:rPr>
          <w:bCs/>
          <w:b/>
        </w:rPr>
        <w:t xml:space="preserve">Правовое обоснование:</w:t>
      </w:r>
      <w:r>
        <w:t xml:space="preserve"> </w:t>
      </w:r>
      <w:r>
        <w:t xml:space="preserve">это не рассылка. Пользователь самостоятельно «встречает» рекламу в ленте. Нормы ст. 18 ФЗ-38 о предварительном согласии на данный формат не распространяются.</w:t>
      </w:r>
    </w:p>
    <w:p>
      <w:pPr>
        <w:pStyle w:val="BodyText"/>
      </w:pPr>
      <w:r>
        <w:rPr>
          <w:bCs/>
          <w:b/>
        </w:rPr>
        <w:t xml:space="preserve">Дополнительная возможность:</w:t>
      </w:r>
      <w:r>
        <w:t xml:space="preserve"> </w:t>
      </w:r>
      <w:r>
        <w:t xml:space="preserve">look-alike аудитории — система формирует аудиторию похожих пользователей на основе загруженной базы. Новые люди, никаких правовых рисков, связанных с исходными контактами.</w:t>
      </w:r>
    </w:p>
    <w:p>
      <w:r>
        <w:pict>
          <v:rect style="width:0;height:1.5pt" o:hralign="center" o:hrstd="t" o:hr="t"/>
        </w:pict>
      </w:r>
    </w:p>
    <w:bookmarkEnd w:id="37"/>
    <w:bookmarkStart w:id="38" w:name="X59ccd653324f93b5874e7eedf73f83006fa69a6"/>
    <w:p>
      <w:pPr>
        <w:pStyle w:val="Heading3"/>
      </w:pPr>
      <w:r>
        <w:t xml:space="preserve">Стратегия В — Транзакционные письма с призывом к подписке</w:t>
      </w:r>
    </w:p>
    <w:p>
      <w:pPr>
        <w:pStyle w:val="FirstParagraph"/>
      </w:pPr>
      <w:r>
        <w:rPr>
          <w:bCs/>
          <w:b/>
        </w:rPr>
        <w:t xml:space="preserve">Суть:</w:t>
      </w:r>
      <w:r>
        <w:t xml:space="preserve"> </w:t>
      </w:r>
      <w:r>
        <w:t xml:space="preserve">в сервисных и транзакционных сообщениях (подтверждение заказа, счёт, уведомление) добавить необязательный блок с приглашением подписаться на рассылку.</w:t>
      </w:r>
    </w:p>
    <w:p>
      <w:pPr>
        <w:pStyle w:val="BodyText"/>
      </w:pPr>
      <w:r>
        <w:rPr>
          <w:bCs/>
          <w:b/>
        </w:rPr>
        <w:t xml:space="preserve">Правовое обоснование:</w:t>
      </w:r>
      <w:r>
        <w:t xml:space="preserve"> </w:t>
      </w:r>
      <w:r>
        <w:t xml:space="preserve">транзакционное письмо не является рекламой и не требует отдельного согласия — оно направляется в рамках исполнения договора. Клиент, перешедший по ссылке и подтвердивший подписку, предоставляет чистое задокументированное согласие.</w:t>
      </w:r>
    </w:p>
    <w:p>
      <w:r>
        <w:pict>
          <v:rect style="width:0;height:1.5pt" o:hralign="center" o:hrstd="t" o:hr="t"/>
        </w:pict>
      </w:r>
    </w:p>
    <w:bookmarkEnd w:id="38"/>
    <w:bookmarkStart w:id="39" w:name="X6dc9f3988d654f977b5350809f17f536250887c"/>
    <w:p>
      <w:pPr>
        <w:pStyle w:val="Heading3"/>
      </w:pPr>
      <w:r>
        <w:t xml:space="preserve">Стратегия Г — Сбор новой базы с правильным согласием</w:t>
      </w:r>
    </w:p>
    <w:p>
      <w:pPr>
        <w:pStyle w:val="FirstParagraph"/>
      </w:pPr>
      <w:r>
        <w:rPr>
          <w:bCs/>
          <w:b/>
        </w:rPr>
        <w:t xml:space="preserve">Требования к форме сбора согласия:</w:t>
      </w:r>
    </w:p>
    <w:p>
      <w:pPr>
        <w:numPr>
          <w:ilvl w:val="0"/>
          <w:numId w:val="1003"/>
        </w:numPr>
        <w:pStyle w:val="Compact"/>
      </w:pPr>
      <w:r>
        <w:rPr>
          <w:bCs/>
          <w:b/>
        </w:rPr>
        <w:t xml:space="preserve">Отдельный чекбокс</w:t>
      </w:r>
      <w:r>
        <w:t xml:space="preserve"> </w:t>
      </w:r>
      <w:r>
        <w:t xml:space="preserve">для согласия на рекламные рассылки — не совмещённый с согласием на обработку ПД и не являющийся обязательным для совершения целевого действия.</w:t>
      </w:r>
    </w:p>
    <w:p>
      <w:pPr>
        <w:numPr>
          <w:ilvl w:val="0"/>
          <w:numId w:val="1003"/>
        </w:numPr>
        <w:pStyle w:val="Compact"/>
      </w:pPr>
      <w:r>
        <w:t xml:space="preserve">Чекбокс</w:t>
      </w:r>
      <w:r>
        <w:t xml:space="preserve"> </w:t>
      </w:r>
      <w:r>
        <w:rPr>
          <w:bCs/>
          <w:b/>
        </w:rPr>
        <w:t xml:space="preserve">не проставлен по умолчанию</w:t>
      </w:r>
      <w:r>
        <w:t xml:space="preserve">.</w:t>
      </w:r>
    </w:p>
    <w:p>
      <w:pPr>
        <w:numPr>
          <w:ilvl w:val="0"/>
          <w:numId w:val="1003"/>
        </w:numPr>
        <w:pStyle w:val="Compact"/>
      </w:pPr>
      <w:r>
        <w:t xml:space="preserve">Рядом с чекбоксом — текст, явно описывающий, что именно будет приходить.</w:t>
      </w:r>
    </w:p>
    <w:p>
      <w:pPr>
        <w:numPr>
          <w:ilvl w:val="0"/>
          <w:numId w:val="1003"/>
        </w:numPr>
        <w:pStyle w:val="Compact"/>
      </w:pPr>
      <w:r>
        <w:t xml:space="preserve">Ссылка на Политику конфиденциальности.</w:t>
      </w:r>
    </w:p>
    <w:p>
      <w:pPr>
        <w:numPr>
          <w:ilvl w:val="0"/>
          <w:numId w:val="1003"/>
        </w:numPr>
        <w:pStyle w:val="Compact"/>
      </w:pPr>
      <w:r>
        <w:rPr>
          <w:bCs/>
          <w:b/>
        </w:rPr>
        <w:t xml:space="preserve">Double opt-in:</w:t>
      </w:r>
      <w:r>
        <w:t xml:space="preserve"> </w:t>
      </w:r>
      <w:r>
        <w:t xml:space="preserve">после заполнения формы — письмо с подтверждением, и только после клика в письме контакт добавляется в базу рассылок.</w:t>
      </w:r>
    </w:p>
    <w:p>
      <w:pPr>
        <w:pStyle w:val="FirstParagraph"/>
      </w:pPr>
      <w:r>
        <w:t xml:space="preserve">Double opt-in обеспечивает наилучшую доказательную защиту: фиксируются дата и время первичного согласия, IP-адрес, текст чекбокса, дата подтверждения.</w:t>
      </w:r>
    </w:p>
    <w:p>
      <w:r>
        <w:pict>
          <v:rect style="width:0;height:1.5pt" o:hralign="center" o:hrstd="t" o:hr="t"/>
        </w:pict>
      </w:r>
    </w:p>
    <w:bookmarkEnd w:id="39"/>
    <w:bookmarkStart w:id="40" w:name="X5968dd3f956bc7512897e472f88ae98a3325d93"/>
    <w:p>
      <w:pPr>
        <w:pStyle w:val="Heading3"/>
      </w:pPr>
      <w:r>
        <w:t xml:space="preserve">Стратегия Д — Получение согласия через телефонный звонок</w:t>
      </w:r>
    </w:p>
    <w:p>
      <w:pPr>
        <w:pStyle w:val="FirstParagraph"/>
      </w:pPr>
      <w:r>
        <w:rPr>
          <w:bCs/>
          <w:b/>
        </w:rPr>
        <w:t xml:space="preserve">Суть:</w:t>
      </w:r>
      <w:r>
        <w:t xml:space="preserve"> </w:t>
      </w:r>
      <w:r>
        <w:t xml:space="preserve">менеджер связывается с контактом по телефону, информирует о характере предполагаемых рассылок и фиксирует согласие или отказ в CRM.</w:t>
      </w:r>
    </w:p>
    <w:p>
      <w:pPr>
        <w:pStyle w:val="BodyText"/>
      </w:pPr>
      <w:r>
        <w:rPr>
          <w:bCs/>
          <w:b/>
        </w:rPr>
        <w:t xml:space="preserve">Правовое обоснование:</w:t>
      </w:r>
      <w:r>
        <w:t xml:space="preserve"> </w:t>
      </w:r>
      <w:r>
        <w:t xml:space="preserve">телефонный звонок — не рассылка по смыслу ст. 18 ФЗ-38. Согласие, полученное в разговоре и зафиксированное в CRM (дата, сотрудник, статус), является законным.</w:t>
      </w:r>
    </w:p>
    <w:p>
      <w:pPr>
        <w:pStyle w:val="BodyText"/>
      </w:pPr>
      <w:r>
        <w:rPr>
          <w:bCs/>
          <w:b/>
        </w:rPr>
        <w:t xml:space="preserve">Ограничение:</w:t>
      </w:r>
      <w:r>
        <w:t xml:space="preserve"> </w:t>
      </w:r>
      <w:r>
        <w:t xml:space="preserve">подходит для B2B-сегмента и небольших баз.</w:t>
      </w:r>
    </w:p>
    <w:p>
      <w:r>
        <w:pict>
          <v:rect style="width:0;height:1.5pt" o:hralign="center" o:hrstd="t" o:hr="t"/>
        </w:pict>
      </w:r>
    </w:p>
    <w:bookmarkEnd w:id="40"/>
    <w:bookmarkEnd w:id="41"/>
    <w:bookmarkStart w:id="45" w:name="рекомендуемые-меры-по-минимизации-рисков"/>
    <w:p>
      <w:pPr>
        <w:pStyle w:val="Heading2"/>
      </w:pPr>
      <w:r>
        <w:t xml:space="preserve">6. РЕКОМЕНДУЕМЫЕ МЕРЫ ПО МИНИМИЗАЦИИ РИСКОВ</w:t>
      </w:r>
    </w:p>
    <w:bookmarkStart w:id="42" w:name="немедленные-действия"/>
    <w:p>
      <w:pPr>
        <w:pStyle w:val="Heading3"/>
      </w:pPr>
      <w:r>
        <w:t xml:space="preserve">Немедленные действия</w:t>
      </w:r>
    </w:p>
    <w:p>
      <w:pPr>
        <w:numPr>
          <w:ilvl w:val="0"/>
          <w:numId w:val="1004"/>
        </w:numPr>
        <w:pStyle w:val="Compact"/>
      </w:pPr>
      <w:r>
        <w:rPr>
          <w:bCs/>
          <w:b/>
        </w:rPr>
        <w:t xml:space="preserve">Провести аудит базы</w:t>
      </w:r>
      <w:r>
        <w:t xml:space="preserve"> </w:t>
      </w:r>
      <w:r>
        <w:t xml:space="preserve">с сегментацией по источнику контакта и наличию зафиксированного согласия на рекламу.</w:t>
      </w:r>
    </w:p>
    <w:p>
      <w:pPr>
        <w:numPr>
          <w:ilvl w:val="0"/>
          <w:numId w:val="1004"/>
        </w:numPr>
        <w:pStyle w:val="Compact"/>
      </w:pPr>
      <w:r>
        <w:rPr>
          <w:bCs/>
          <w:b/>
        </w:rPr>
        <w:t xml:space="preserve">Не запускать рекламные рассылки</w:t>
      </w:r>
      <w:r>
        <w:t xml:space="preserve"> </w:t>
      </w:r>
      <w:r>
        <w:t xml:space="preserve">по сегментам с неподтверждённым согласием до завершения реактивационной кампании.</w:t>
      </w:r>
    </w:p>
    <w:p>
      <w:pPr>
        <w:numPr>
          <w:ilvl w:val="0"/>
          <w:numId w:val="1004"/>
        </w:numPr>
        <w:pStyle w:val="Compact"/>
      </w:pPr>
      <w:r>
        <w:rPr>
          <w:bCs/>
          <w:b/>
        </w:rPr>
        <w:t xml:space="preserve">Зафиксировать текущее состояние форм</w:t>
      </w:r>
      <w:r>
        <w:t xml:space="preserve"> </w:t>
      </w:r>
      <w:r>
        <w:t xml:space="preserve">на сайте (скриншоты, архивы страниц) для возможных разбирательств.</w:t>
      </w:r>
    </w:p>
    <w:bookmarkEnd w:id="42"/>
    <w:bookmarkStart w:id="43" w:name="организационные-меры"/>
    <w:p>
      <w:pPr>
        <w:pStyle w:val="Heading3"/>
      </w:pPr>
      <w:r>
        <w:t xml:space="preserve">Организационные меры</w:t>
      </w:r>
    </w:p>
    <w:p>
      <w:pPr>
        <w:numPr>
          <w:ilvl w:val="0"/>
          <w:numId w:val="1005"/>
        </w:numPr>
        <w:pStyle w:val="Compact"/>
      </w:pPr>
      <w:r>
        <w:rPr>
          <w:bCs/>
          <w:b/>
        </w:rPr>
        <w:t xml:space="preserve">Уведомить Роскомнадзор</w:t>
      </w:r>
      <w:r>
        <w:t xml:space="preserve"> </w:t>
      </w:r>
      <w:r>
        <w:t xml:space="preserve">о деятельности в качестве оператора персональных данных (если уведомление не подано — отдельный риск по ст. 19.7 КоАП).</w:t>
      </w:r>
    </w:p>
    <w:p>
      <w:pPr>
        <w:numPr>
          <w:ilvl w:val="0"/>
          <w:numId w:val="1005"/>
        </w:numPr>
        <w:pStyle w:val="Compact"/>
      </w:pPr>
      <w:r>
        <w:t xml:space="preserve">Разместить на сайте актуальную</w:t>
      </w:r>
      <w:r>
        <w:t xml:space="preserve"> </w:t>
      </w:r>
      <w:r>
        <w:rPr>
          <w:bCs/>
          <w:b/>
        </w:rPr>
        <w:t xml:space="preserve">Политику конфиденциальности</w:t>
      </w:r>
      <w:r>
        <w:t xml:space="preserve"> </w:t>
      </w:r>
      <w:r>
        <w:t xml:space="preserve">с описанием целей обработки, включая маркетинговые рассылки.</w:t>
      </w:r>
    </w:p>
    <w:p>
      <w:pPr>
        <w:numPr>
          <w:ilvl w:val="0"/>
          <w:numId w:val="1005"/>
        </w:numPr>
        <w:pStyle w:val="Compact"/>
      </w:pPr>
      <w:r>
        <w:t xml:space="preserve">Настроить в CRM (Битрикс24) поля: источник контакта, дата получения согласия на рекламу, канал получения согласия, статус согласия.</w:t>
      </w:r>
    </w:p>
    <w:bookmarkEnd w:id="43"/>
    <w:bookmarkStart w:id="44" w:name="долгосрочные-меры"/>
    <w:p>
      <w:pPr>
        <w:pStyle w:val="Heading3"/>
      </w:pPr>
      <w:r>
        <w:t xml:space="preserve">Долгосрочные меры</w:t>
      </w:r>
    </w:p>
    <w:p>
      <w:pPr>
        <w:numPr>
          <w:ilvl w:val="0"/>
          <w:numId w:val="1006"/>
        </w:numPr>
        <w:pStyle w:val="Compact"/>
      </w:pPr>
      <w:r>
        <w:t xml:space="preserve">Внедрить</w:t>
      </w:r>
      <w:r>
        <w:t xml:space="preserve"> </w:t>
      </w:r>
      <w:r>
        <w:rPr>
          <w:bCs/>
          <w:b/>
        </w:rPr>
        <w:t xml:space="preserve">double opt-in</w:t>
      </w:r>
      <w:r>
        <w:t xml:space="preserve"> </w:t>
      </w:r>
      <w:r>
        <w:t xml:space="preserve">как стандарт для всех новых форм сбора контактов.</w:t>
      </w:r>
    </w:p>
    <w:p>
      <w:pPr>
        <w:numPr>
          <w:ilvl w:val="0"/>
          <w:numId w:val="1006"/>
        </w:numPr>
        <w:pStyle w:val="Compact"/>
      </w:pPr>
      <w:r>
        <w:t xml:space="preserve">Установить</w:t>
      </w:r>
      <w:r>
        <w:t xml:space="preserve"> </w:t>
      </w:r>
      <w:r>
        <w:rPr>
          <w:bCs/>
          <w:b/>
        </w:rPr>
        <w:t xml:space="preserve">срок актуальности согласия</w:t>
      </w:r>
      <w:r>
        <w:t xml:space="preserve"> </w:t>
      </w:r>
      <w:r>
        <w:t xml:space="preserve">во внутренних регламентах (рекомендуется переподтверждение раз в 2–3 года для неактивных контактов).</w:t>
      </w:r>
    </w:p>
    <w:p>
      <w:pPr>
        <w:numPr>
          <w:ilvl w:val="0"/>
          <w:numId w:val="1006"/>
        </w:numPr>
        <w:pStyle w:val="Compact"/>
      </w:pPr>
      <w:r>
        <w:t xml:space="preserve">Хранить</w:t>
      </w:r>
      <w:r>
        <w:t xml:space="preserve"> </w:t>
      </w:r>
      <w:r>
        <w:rPr>
          <w:bCs/>
          <w:b/>
        </w:rPr>
        <w:t xml:space="preserve">архивные версии форм</w:t>
      </w:r>
      <w:r>
        <w:t xml:space="preserve"> </w:t>
      </w:r>
      <w:r>
        <w:t xml:space="preserve">(скриншоты с датами), используемых при сборе данных.</w:t>
      </w:r>
    </w:p>
    <w:p>
      <w:r>
        <w:pict>
          <v:rect style="width:0;height:1.5pt" o:hralign="center" o:hrstd="t" o:hr="t"/>
        </w:pict>
      </w:r>
    </w:p>
    <w:bookmarkEnd w:id="44"/>
    <w:bookmarkEnd w:id="45"/>
    <w:bookmarkStart w:id="46" w:name="сводная-таблица-рисков"/>
    <w:p>
      <w:pPr>
        <w:pStyle w:val="Heading2"/>
      </w:pPr>
      <w:r>
        <w:t xml:space="preserve">7. СВОДНАЯ ТАБЛИЦА РИСКОВ</w:t>
      </w:r>
    </w:p>
    <w:tbl>
      <w:tblPr>
        <w:tblStyle w:val="Table"/>
        <w:tblW w:type="pct" w:w="5000"/>
        <w:tblLook w:firstRow="1" w:lastRow="0" w:firstColumn="0" w:lastColumn="0" w:noHBand="0" w:noVBand="0" w:val="0020"/>
        <w:jc w:val="start"/>
      </w:tblPr>
      <w:tblGrid>
        <w:gridCol w:w="1502"/>
        <w:gridCol w:w="955"/>
        <w:gridCol w:w="3004"/>
        <w:gridCol w:w="2457"/>
      </w:tblGrid>
      <w:tr>
        <w:trPr>
          <w:tblHeader w:val="true"/>
        </w:trPr>
        <w:tc>
          <w:tcPr/>
          <w:p>
            <w:pPr>
              <w:pStyle w:val="Compact"/>
              <w:jc w:val="left"/>
            </w:pPr>
            <w:r>
              <w:t xml:space="preserve">Нарушение</w:t>
            </w:r>
          </w:p>
        </w:tc>
        <w:tc>
          <w:tcPr/>
          <w:p>
            <w:pPr>
              <w:pStyle w:val="Compact"/>
              <w:jc w:val="left"/>
            </w:pPr>
            <w:r>
              <w:t xml:space="preserve">Закон</w:t>
            </w:r>
          </w:p>
        </w:tc>
        <w:tc>
          <w:tcPr/>
          <w:p>
            <w:pPr>
              <w:pStyle w:val="Compact"/>
              <w:jc w:val="left"/>
            </w:pPr>
            <w:r>
              <w:t xml:space="preserve">Контролирующий орган</w:t>
            </w:r>
          </w:p>
        </w:tc>
        <w:tc>
          <w:tcPr/>
          <w:p>
            <w:pPr>
              <w:pStyle w:val="Compact"/>
              <w:jc w:val="left"/>
            </w:pPr>
            <w:r>
              <w:t xml:space="preserve">Штраф для юрлица</w:t>
            </w:r>
          </w:p>
        </w:tc>
      </w:tr>
      <w:tr>
        <w:tc>
          <w:tcPr/>
          <w:p>
            <w:pPr>
              <w:pStyle w:val="Compact"/>
              <w:jc w:val="left"/>
            </w:pPr>
            <w:r>
              <w:t xml:space="preserve">Рассылка без согласия на рекламу</w:t>
            </w:r>
          </w:p>
        </w:tc>
        <w:tc>
          <w:tcPr/>
          <w:p>
            <w:pPr>
              <w:pStyle w:val="Compact"/>
              <w:jc w:val="left"/>
            </w:pPr>
            <w:r>
              <w:t xml:space="preserve">ФЗ-38, ст. 18</w:t>
            </w:r>
          </w:p>
        </w:tc>
        <w:tc>
          <w:tcPr/>
          <w:p>
            <w:pPr>
              <w:pStyle w:val="Compact"/>
              <w:jc w:val="left"/>
            </w:pPr>
            <w:r>
              <w:t xml:space="preserve">ФАС России</w:t>
            </w:r>
          </w:p>
        </w:tc>
        <w:tc>
          <w:tcPr/>
          <w:p>
            <w:pPr>
              <w:pStyle w:val="Compact"/>
              <w:jc w:val="left"/>
            </w:pPr>
            <w:r>
              <w:t xml:space="preserve">300 000 — 1 000 000 руб.</w:t>
            </w:r>
            <w:r>
              <w:t xml:space="preserve"> </w:t>
            </w:r>
            <w:r>
              <w:rPr>
                <w:bCs/>
                <w:b/>
              </w:rPr>
              <w:t xml:space="preserve">за каждый факт</w:t>
            </w:r>
          </w:p>
        </w:tc>
      </w:tr>
      <w:tr>
        <w:tc>
          <w:tcPr/>
          <w:p>
            <w:pPr>
              <w:pStyle w:val="Compact"/>
              <w:jc w:val="left"/>
            </w:pPr>
            <w:r>
              <w:t xml:space="preserve">Обработка ПД без надлежащего согласия</w:t>
            </w:r>
          </w:p>
        </w:tc>
        <w:tc>
          <w:tcPr/>
          <w:p>
            <w:pPr>
              <w:pStyle w:val="Compact"/>
              <w:jc w:val="left"/>
            </w:pPr>
            <w:r>
              <w:t xml:space="preserve">ФЗ-152, ст. 9; КоАП ст. 13.11 ч. 2</w:t>
            </w:r>
          </w:p>
        </w:tc>
        <w:tc>
          <w:tcPr/>
          <w:p>
            <w:pPr>
              <w:pStyle w:val="Compact"/>
              <w:jc w:val="left"/>
            </w:pPr>
            <w:r>
              <w:t xml:space="preserve">Роскомнадзор</w:t>
            </w:r>
          </w:p>
        </w:tc>
        <w:tc>
          <w:tcPr/>
          <w:p>
            <w:pPr>
              <w:pStyle w:val="Compact"/>
              <w:jc w:val="left"/>
            </w:pPr>
            <w:r>
              <w:t xml:space="preserve">300 000 — 700 000 руб.</w:t>
            </w:r>
          </w:p>
        </w:tc>
      </w:tr>
      <w:tr>
        <w:tc>
          <w:tcPr/>
          <w:p>
            <w:pPr>
              <w:pStyle w:val="Compact"/>
              <w:jc w:val="left"/>
            </w:pPr>
            <w:r>
              <w:t xml:space="preserve">Повторное нарушение обработки ПД</w:t>
            </w:r>
          </w:p>
        </w:tc>
        <w:tc>
          <w:tcPr/>
          <w:p>
            <w:pPr>
              <w:pStyle w:val="Compact"/>
              <w:jc w:val="left"/>
            </w:pPr>
            <w:r>
              <w:t xml:space="preserve">КоАП ст. 13.11 ч. 2.1</w:t>
            </w:r>
          </w:p>
        </w:tc>
        <w:tc>
          <w:tcPr/>
          <w:p>
            <w:pPr>
              <w:pStyle w:val="Compact"/>
              <w:jc w:val="left"/>
            </w:pPr>
            <w:r>
              <w:t xml:space="preserve">Роскомнадзор</w:t>
            </w:r>
          </w:p>
        </w:tc>
        <w:tc>
          <w:tcPr/>
          <w:p>
            <w:pPr>
              <w:pStyle w:val="Compact"/>
              <w:jc w:val="left"/>
            </w:pPr>
            <w:r>
              <w:t xml:space="preserve">1 000 000 — 1 500 000 руб.</w:t>
            </w:r>
          </w:p>
        </w:tc>
      </w:tr>
      <w:tr>
        <w:tc>
          <w:tcPr/>
          <w:p>
            <w:pPr>
              <w:pStyle w:val="Compact"/>
              <w:jc w:val="left"/>
            </w:pPr>
            <w:r>
              <w:t xml:space="preserve">Хранение базы за пределами РФ</w:t>
            </w:r>
          </w:p>
        </w:tc>
        <w:tc>
          <w:tcPr/>
          <w:p>
            <w:pPr>
              <w:pStyle w:val="Compact"/>
              <w:jc w:val="left"/>
            </w:pPr>
            <w:r>
              <w:t xml:space="preserve">ФЗ-152, ст. 18.1; КоАП ст. 13.11 ч. 8</w:t>
            </w:r>
          </w:p>
        </w:tc>
        <w:tc>
          <w:tcPr/>
          <w:p>
            <w:pPr>
              <w:pStyle w:val="Compact"/>
              <w:jc w:val="left"/>
            </w:pPr>
            <w:r>
              <w:t xml:space="preserve">Роскомнадзор</w:t>
            </w:r>
          </w:p>
        </w:tc>
        <w:tc>
          <w:tcPr/>
          <w:p>
            <w:pPr>
              <w:pStyle w:val="Compact"/>
              <w:jc w:val="left"/>
            </w:pPr>
            <w:r>
              <w:t xml:space="preserve">1 000 000 — 6 000 000 руб.</w:t>
            </w:r>
          </w:p>
        </w:tc>
      </w:tr>
      <w:tr>
        <w:tc>
          <w:tcPr/>
          <w:p>
            <w:pPr>
              <w:pStyle w:val="Compact"/>
              <w:jc w:val="left"/>
            </w:pPr>
            <w:r>
              <w:t xml:space="preserve">Неуведомление РКН об операторе ПД</w:t>
            </w:r>
          </w:p>
        </w:tc>
        <w:tc>
          <w:tcPr/>
          <w:p>
            <w:pPr>
              <w:pStyle w:val="Compact"/>
              <w:jc w:val="left"/>
            </w:pPr>
            <w:r>
              <w:t xml:space="preserve">ФЗ-152, ст. 22</w:t>
            </w:r>
          </w:p>
        </w:tc>
        <w:tc>
          <w:tcPr/>
          <w:p>
            <w:pPr>
              <w:pStyle w:val="Compact"/>
              <w:jc w:val="left"/>
            </w:pPr>
            <w:r>
              <w:t xml:space="preserve">Роскомнадзор</w:t>
            </w:r>
          </w:p>
        </w:tc>
        <w:tc>
          <w:tcPr/>
          <w:p>
            <w:pPr>
              <w:pStyle w:val="Compact"/>
              <w:jc w:val="left"/>
            </w:pPr>
            <w:r>
              <w:t xml:space="preserve">до 300 000 руб.</w:t>
            </w:r>
          </w:p>
        </w:tc>
      </w:tr>
      <w:tr>
        <w:tc>
          <w:tcPr/>
          <w:p>
            <w:pPr>
              <w:pStyle w:val="Compact"/>
              <w:jc w:val="left"/>
            </w:pPr>
            <w:r>
              <w:t xml:space="preserve">Утечка данных (от 1 000 субъектов)</w:t>
            </w:r>
          </w:p>
        </w:tc>
        <w:tc>
          <w:tcPr/>
          <w:p>
            <w:pPr>
              <w:pStyle w:val="Compact"/>
              <w:jc w:val="left"/>
            </w:pPr>
            <w:r>
              <w:t xml:space="preserve">ФЗ-152</w:t>
            </w:r>
          </w:p>
        </w:tc>
        <w:tc>
          <w:tcPr/>
          <w:p>
            <w:pPr>
              <w:pStyle w:val="Compact"/>
              <w:jc w:val="left"/>
            </w:pPr>
            <w:r>
              <w:t xml:space="preserve">Роскомнадзор</w:t>
            </w:r>
          </w:p>
        </w:tc>
        <w:tc>
          <w:tcPr/>
          <w:p>
            <w:pPr>
              <w:pStyle w:val="Compact"/>
              <w:jc w:val="left"/>
            </w:pPr>
            <w:r>
              <w:t xml:space="preserve">от 3 000 000 руб.</w:t>
            </w:r>
          </w:p>
        </w:tc>
      </w:tr>
    </w:tbl>
    <w:p>
      <w:r>
        <w:pict>
          <v:rect style="width:0;height:1.5pt" o:hralign="center" o:hrstd="t" o:hr="t"/>
        </w:pict>
      </w:r>
    </w:p>
    <w:bookmarkEnd w:id="46"/>
    <w:bookmarkStart w:id="53" w:name="вывод"/>
    <w:p>
      <w:pPr>
        <w:pStyle w:val="Heading2"/>
      </w:pPr>
      <w:r>
        <w:t xml:space="preserve">8. ВЫВОД</w:t>
      </w:r>
    </w:p>
    <w:p>
      <w:pPr>
        <w:pStyle w:val="FirstParagraph"/>
      </w:pPr>
      <w:r>
        <w:t xml:space="preserve">Проведение рекламных рассылок по базе с неподтверждённым согласием создаёт для компании</w:t>
      </w:r>
      <w:r>
        <w:t xml:space="preserve"> </w:t>
      </w:r>
      <w:r>
        <w:rPr>
          <w:bCs/>
          <w:b/>
        </w:rPr>
        <w:t xml:space="preserve">прямой и реализуемый правовой риск</w:t>
      </w:r>
      <w:r>
        <w:t xml:space="preserve"> </w:t>
      </w:r>
      <w:r>
        <w:t xml:space="preserve">с совокупным потенциальным штрафом, исчисляемым миллионами рублей при небольшом количестве жалоб. Санкции применяются двумя независимыми органами (ФАС и Роскомнадзор), что удваивает нагрузку.</w:t>
      </w:r>
    </w:p>
    <w:p>
      <w:pPr>
        <w:pStyle w:val="BodyText"/>
      </w:pPr>
      <w:r>
        <w:rPr>
          <w:bCs/>
          <w:b/>
        </w:rPr>
        <w:t xml:space="preserve">Рекомендуемый порядок действий:</w:t>
      </w:r>
      <w:r>
        <w:t xml:space="preserve"> </w:t>
      </w:r>
      <w:r>
        <w:t xml:space="preserve">1. Аудит базы.</w:t>
      </w:r>
      <w:r>
        <w:t xml:space="preserve"> </w:t>
      </w:r>
      <w:r>
        <w:t xml:space="preserve">2. Реактивационная кампания для контактов с неясным статусом.</w:t>
      </w:r>
      <w:r>
        <w:t xml:space="preserve"> </w:t>
      </w:r>
      <w:r>
        <w:t xml:space="preserve">3. Параллельный запуск таргетированной рекламы по базе как безрискового канала.</w:t>
      </w:r>
      <w:r>
        <w:t xml:space="preserve"> </w:t>
      </w:r>
      <w:r>
        <w:t xml:space="preserve">4. Выстраивание нового процесса сбора контактов с double opt-in.</w:t>
      </w:r>
    </w:p>
    <w:p>
      <w:r>
        <w:pict>
          <v:rect style="width:0;height:1.5pt" o:hralign="center" o:hrstd="t" o:hr="t"/>
        </w:pict>
      </w:r>
    </w:p>
    <w:p>
      <w:pPr>
        <w:pStyle w:val="FirstParagraph"/>
      </w:pPr>
      <w:r>
        <w:rPr>
          <w:iCs/>
          <w:i/>
        </w:rPr>
        <w:t xml:space="preserve">Документ подготовлен на основании актуальных редакций ФЗ-38 (ред. от 27.10.2025), ФЗ-152 и КоАП РФ (штрафы по ст. 13.11 действуют с 30.05.2025).</w:t>
      </w:r>
    </w:p>
    <w:p>
      <w:pPr>
        <w:pStyle w:val="BodyText"/>
      </w:pPr>
      <w:r>
        <w:rPr>
          <w:bCs/>
          <w:b/>
        </w:rPr>
        <w:t xml:space="preserve">Источники:</w:t>
      </w:r>
      <w:r>
        <w:t xml:space="preserve"> </w:t>
      </w:r>
      <w:r>
        <w:t xml:space="preserve">-</w:t>
      </w:r>
      <w:r>
        <w:t xml:space="preserve"> </w:t>
      </w:r>
      <w:hyperlink r:id="rId47">
        <w:r>
          <w:rPr>
            <w:rStyle w:val="Hyperlink"/>
          </w:rPr>
          <w:t xml:space="preserve">Ст. 18 ФЗ-38 «О рекламе» — КонсультантПлюс</w:t>
        </w:r>
      </w:hyperlink>
      <w:r>
        <w:t xml:space="preserve"> </w:t>
      </w:r>
      <w:r>
        <w:t xml:space="preserve">-</w:t>
      </w:r>
      <w:r>
        <w:t xml:space="preserve"> </w:t>
      </w:r>
      <w:hyperlink r:id="rId48">
        <w:r>
          <w:rPr>
            <w:rStyle w:val="Hyperlink"/>
          </w:rPr>
          <w:t xml:space="preserve">Ст. 14.3 КоАП РФ — КонсультантПлюс</w:t>
        </w:r>
      </w:hyperlink>
      <w:r>
        <w:t xml:space="preserve"> </w:t>
      </w:r>
      <w:r>
        <w:t xml:space="preserve">-</w:t>
      </w:r>
      <w:r>
        <w:t xml:space="preserve"> </w:t>
      </w:r>
      <w:hyperlink r:id="rId49">
        <w:r>
          <w:rPr>
            <w:rStyle w:val="Hyperlink"/>
          </w:rPr>
          <w:t xml:space="preserve">Штрафы за спам 2025: до 1 млн рублей — Unibell</w:t>
        </w:r>
      </w:hyperlink>
      <w:r>
        <w:t xml:space="preserve"> </w:t>
      </w:r>
      <w:r>
        <w:t xml:space="preserve">-</w:t>
      </w:r>
      <w:r>
        <w:t xml:space="preserve"> </w:t>
      </w:r>
      <w:hyperlink r:id="rId50">
        <w:r>
          <w:rPr>
            <w:rStyle w:val="Hyperlink"/>
          </w:rPr>
          <w:t xml:space="preserve">Штрафы за нарушения ФЗ-152 в 2026 году — data-sec.ru</w:t>
        </w:r>
      </w:hyperlink>
      <w:r>
        <w:t xml:space="preserve"> </w:t>
      </w:r>
      <w:r>
        <w:t xml:space="preserve">-</w:t>
      </w:r>
      <w:r>
        <w:t xml:space="preserve"> </w:t>
      </w:r>
      <w:hyperlink r:id="rId51">
        <w:r>
          <w:rPr>
            <w:rStyle w:val="Hyperlink"/>
          </w:rPr>
          <w:t xml:space="preserve">Новые штрафы за спам-звонки и рекламу — regberry.ru</w:t>
        </w:r>
      </w:hyperlink>
      <w:r>
        <w:t xml:space="preserve"> </w:t>
      </w:r>
      <w:r>
        <w:t xml:space="preserve">-</w:t>
      </w:r>
      <w:r>
        <w:t xml:space="preserve"> </w:t>
      </w:r>
      <w:hyperlink r:id="rId52">
        <w:r>
          <w:rPr>
            <w:rStyle w:val="Hyperlink"/>
          </w:rPr>
          <w:t xml:space="preserve">Персональные данные 2025: штраф до 15 млн — vc.ru</w:t>
        </w:r>
      </w:hyperlink>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data-sec.ru/personal-data/fines/" TargetMode="External" /><Relationship Type="http://schemas.openxmlformats.org/officeDocument/2006/relationships/hyperlink" Id="rId49" Target="https://unibell.ru/%D0%BC%D0%B8%D0%BB%D0%BB%D0%B8%D0%BE%D0%BD-%D0%B7%D0%B0-%D0%BE%D0%B4%D0%BD%D1%83-%D1%81%D0%BC%D1%81-%D0%BD%D0%BE%D0%B2%D1%8B%D0%B5-%D1%88%D1%82%D1%80%D0%B0%D1%84%D1%8B-%D0%B7%D0%B0-%D1%81%D0%BF%D0%B0/" TargetMode="External" /><Relationship Type="http://schemas.openxmlformats.org/officeDocument/2006/relationships/hyperlink" Id="rId52" Target="https://vc.ru/legal/2186769-personalnye-dannye-2025-izmeneniya-i-shtrafy" TargetMode="External" /><Relationship Type="http://schemas.openxmlformats.org/officeDocument/2006/relationships/hyperlink" Id="rId48" Target="https://www.consultant.ru/document/cons_doc_LAW_34661/2d50fc1c4013ea9ab20b8b2666c1650b1dc4c982/" TargetMode="External" /><Relationship Type="http://schemas.openxmlformats.org/officeDocument/2006/relationships/hyperlink" Id="rId47" Target="https://www.consultant.ru/document/cons_doc_LAW_58968/f892dec1383709792452f18d36e7043306e2be0a/" TargetMode="External" /><Relationship Type="http://schemas.openxmlformats.org/officeDocument/2006/relationships/hyperlink" Id="rId51" Target="https://www.regberry.ru/malyy-biznes/zakon-o-spam-zvonkah-novye-shtrafy-dlya-biznesa-i-kak-ih-izbezhat" TargetMode="External" /></Relationships>
</file>

<file path=word/_rels/footnotes.xml.rels><?xml version="1.0" encoding="UTF-8"?><Relationships xmlns="http://schemas.openxmlformats.org/package/2006/relationships"><Relationship Type="http://schemas.openxmlformats.org/officeDocument/2006/relationships/hyperlink" Id="rId50" Target="https://data-sec.ru/personal-data/fines/" TargetMode="External" /><Relationship Type="http://schemas.openxmlformats.org/officeDocument/2006/relationships/hyperlink" Id="rId49" Target="https://unibell.ru/%D0%BC%D0%B8%D0%BB%D0%BB%D0%B8%D0%BE%D0%BD-%D0%B7%D0%B0-%D0%BE%D0%B4%D0%BD%D1%83-%D1%81%D0%BC%D1%81-%D0%BD%D0%BE%D0%B2%D1%8B%D0%B5-%D1%88%D1%82%D1%80%D0%B0%D1%84%D1%8B-%D0%B7%D0%B0-%D1%81%D0%BF%D0%B0/" TargetMode="External" /><Relationship Type="http://schemas.openxmlformats.org/officeDocument/2006/relationships/hyperlink" Id="rId52" Target="https://vc.ru/legal/2186769-personalnye-dannye-2025-izmeneniya-i-shtrafy" TargetMode="External" /><Relationship Type="http://schemas.openxmlformats.org/officeDocument/2006/relationships/hyperlink" Id="rId48" Target="https://www.consultant.ru/document/cons_doc_LAW_34661/2d50fc1c4013ea9ab20b8b2666c1650b1dc4c982/" TargetMode="External" /><Relationship Type="http://schemas.openxmlformats.org/officeDocument/2006/relationships/hyperlink" Id="rId47" Target="https://www.consultant.ru/document/cons_doc_LAW_58968/f892dec1383709792452f18d36e7043306e2be0a/" TargetMode="External" /><Relationship Type="http://schemas.openxmlformats.org/officeDocument/2006/relationships/hyperlink" Id="rId51" Target="https://www.regberry.ru/malyy-biznes/zakon-o-spam-zvonkah-novye-shtrafy-dlya-biznesa-i-kak-ih-izbezh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2026-05-23T10:47:41Z</dcterms:created>
  <dcterms:modified xsi:type="dcterms:W3CDTF">2026-05-23T10:47:41Z</dcterms:modified>
</cp:coreProperties>
</file>

<file path=docProps/custom.xml><?xml version="1.0" encoding="utf-8"?>
<Properties xmlns="http://schemas.openxmlformats.org/officeDocument/2006/custom-properties" xmlns:vt="http://schemas.openxmlformats.org/officeDocument/2006/docPropsVTypes"/>
</file>