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593" w:rsidRPr="00B75593" w:rsidRDefault="00B75593" w:rsidP="00B75593">
      <w:pPr>
        <w:pStyle w:val="Ingenmellomrom"/>
      </w:pPr>
      <w:r w:rsidRPr="00B75593">
        <w:t>TTK4250 – Assignment 2</w:t>
      </w:r>
    </w:p>
    <w:p w:rsidR="00B75593" w:rsidRPr="00B75593" w:rsidRDefault="00B75593" w:rsidP="00B75593">
      <w:pPr>
        <w:pStyle w:val="Ingenmellomrom"/>
      </w:pPr>
      <w:r w:rsidRPr="00B75593">
        <w:t>Task 2)</w:t>
      </w:r>
    </w:p>
    <w:p w:rsidR="00B75593" w:rsidRPr="00B75593" w:rsidRDefault="00B75593" w:rsidP="00B75593">
      <w:pPr>
        <w:pStyle w:val="Ingenmellomrom"/>
      </w:pPr>
      <w:r w:rsidRPr="00B75593">
        <w:t>g)</w:t>
      </w:r>
    </w:p>
    <w:p w:rsidR="00B75593" w:rsidRPr="00B75593" w:rsidRDefault="00B75593"/>
    <w:p w:rsidR="00B75593" w:rsidRPr="00B75593" w:rsidRDefault="00B75593">
      <w:r w:rsidRPr="00B75593">
        <w:rPr>
          <w:noProof/>
        </w:rPr>
        <w:drawing>
          <wp:inline distT="0" distB="0" distL="0" distR="0" wp14:anchorId="75313CFE" wp14:editId="0B938064">
            <wp:extent cx="5176035" cy="3469342"/>
            <wp:effectExtent l="0" t="0" r="571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8549" cy="34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93" w:rsidRPr="00B75593" w:rsidRDefault="00B75593"/>
    <w:p w:rsidR="00B75593" w:rsidRPr="00B75593" w:rsidRDefault="00B75593">
      <w:r w:rsidRPr="00B75593">
        <w:t xml:space="preserve">x_bar_cr = x_bar_rc = </w:t>
      </w:r>
      <w:r w:rsidRPr="00B75593">
        <w:rPr>
          <w:noProof/>
        </w:rPr>
        <w:drawing>
          <wp:inline distT="0" distB="0" distL="0" distR="0" wp14:anchorId="01FA14F8" wp14:editId="4B20723E">
            <wp:extent cx="1790700" cy="276225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93" w:rsidRPr="00B75593" w:rsidRDefault="00B75593">
      <w:r w:rsidRPr="00B75593">
        <w:t xml:space="preserve">P_cr = P_rc = </w:t>
      </w:r>
      <w:r w:rsidRPr="00B75593">
        <w:rPr>
          <w:noProof/>
        </w:rPr>
        <w:drawing>
          <wp:inline distT="0" distB="0" distL="0" distR="0" wp14:anchorId="1369C221" wp14:editId="54C490A0">
            <wp:extent cx="1885950" cy="333375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93" w:rsidRDefault="00B75593">
      <w:pPr>
        <w:rPr>
          <w:lang w:val="nb-NO"/>
        </w:rPr>
      </w:pPr>
    </w:p>
    <w:p w:rsidR="00B75593" w:rsidRPr="00B75593" w:rsidRDefault="00B75593">
      <w:r w:rsidRPr="00B75593">
        <w:t>Here we have performed t</w:t>
      </w:r>
      <w:r>
        <w:t>he update of the sensor for both the measurements in x_bar_cr and x_bar_rc. What we observe is that the distributions (which are gaussian and therefore characterized by the means x_bar_rc and x_bar_cr and the covariances P_rc and P_cr) are identical. This means that the order in which we condition does not matter.</w:t>
      </w:r>
      <w:bookmarkStart w:id="0" w:name="_GoBack"/>
      <w:bookmarkEnd w:id="0"/>
      <w:r>
        <w:t xml:space="preserve"> </w:t>
      </w:r>
    </w:p>
    <w:p w:rsidR="00B75593" w:rsidRPr="00B75593" w:rsidRDefault="00B75593"/>
    <w:p w:rsidR="00B75593" w:rsidRPr="00B75593" w:rsidRDefault="00B75593"/>
    <w:sectPr w:rsidR="00B75593" w:rsidRPr="00B7559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93"/>
    <w:rsid w:val="00B7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2E98"/>
  <w15:chartTrackingRefBased/>
  <w15:docId w15:val="{83F859B9-BD82-4663-B4D9-C75CA750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B755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Furre</dc:creator>
  <cp:keywords/>
  <dc:description/>
  <cp:lastModifiedBy>Sander Furre</cp:lastModifiedBy>
  <cp:revision>1</cp:revision>
  <dcterms:created xsi:type="dcterms:W3CDTF">2020-09-05T12:05:00Z</dcterms:created>
  <dcterms:modified xsi:type="dcterms:W3CDTF">2020-09-05T12:14:00Z</dcterms:modified>
</cp:coreProperties>
</file>