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County Fact Pack</w:t>
      </w:r>
    </w:p>
    <w:p>
      <w:pPr>
        <w:pStyle w:val="Subtitle"/>
        <w:jc w:val="center"/>
      </w:pPr>
      <w:r>
        <w:t>Sanders County, Montana</w:t>
      </w:r>
    </w:p>
    <w:p>
      <w:r>
        <w:rPr>
          <w:i/>
        </w:rPr>
        <w:t>Office-ready research draft for Emergency Manager review</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Document control</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Value</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Version</w:t>
            </w:r>
          </w:p>
        </w:tc>
        <w:tc>
          <w:tcPr>
            <w:tcW w:type="dxa" w:w="4997"/>
            <w:vAlign w:val="center"/>
            <w:tcMar>
              <w:top w:w="80" w:type="dxa"/>
              <w:start w:w="90" w:type="dxa"/>
              <w:bottom w:w="80" w:type="dxa"/>
              <w:end w:w="90" w:type="dxa"/>
            </w:tcMar>
          </w:tcPr>
          <w:p>
            <w:pPr>
              <w:spacing w:after="0" w:line="240" w:lineRule="auto"/>
            </w:pPr>
            <w:r>
              <w:rPr>
                <w:rFonts w:ascii="Aptos" w:hAnsi="Aptos"/>
                <w:sz w:val="17"/>
              </w:rPr>
              <w:t>0.1 research draft</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Owner</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Emergency Manager</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Data classification</w:t>
            </w:r>
          </w:p>
        </w:tc>
        <w:tc>
          <w:tcPr>
            <w:tcW w:type="dxa" w:w="4997"/>
            <w:vAlign w:val="center"/>
            <w:tcMar>
              <w:top w:w="80" w:type="dxa"/>
              <w:start w:w="90" w:type="dxa"/>
              <w:bottom w:w="80" w:type="dxa"/>
              <w:end w:w="90" w:type="dxa"/>
            </w:tcMar>
          </w:tcPr>
          <w:p>
            <w:pPr>
              <w:spacing w:after="0" w:line="240" w:lineRule="auto"/>
            </w:pPr>
            <w:r>
              <w:rPr>
                <w:rFonts w:ascii="Aptos" w:hAnsi="Aptos"/>
                <w:sz w:val="17"/>
              </w:rPr>
              <w:t>Green — public information only</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Review cycle</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Quarterly and after any plan change, election, or reorganization</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Status</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DRAFT — verify before operational use</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Prepared</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August 8, 2026</w:t>
            </w:r>
          </w:p>
        </w:tc>
      </w:tr>
    </w:tbl>
    <w:p>
      <w:pPr>
        <w:spacing w:after="0"/>
      </w:pPr>
    </w:p>
    <w:p>
      <w:pPr>
        <w:pStyle w:val="Heading2"/>
      </w:pPr>
      <w:r>
        <w:t>Purpose</w:t>
      </w:r>
    </w:p>
    <w:p>
      <w:r>
        <w:t>This fact pack provides concise, verified local context for emergency-management planning and AI-assisted drafting. It is not an emergency operations plan and does not authorize operational decisions.</w:t>
      </w:r>
    </w:p>
    <w:tbl>
      <w:tblPr>
        <w:tblW w:type="auto" w:w="0"/>
        <w:jc w:val="center"/>
        <w:tblLook w:firstColumn="1" w:firstRow="1" w:lastColumn="0" w:lastRow="0" w:noHBand="0" w:noVBand="1" w:val="04A0"/>
      </w:tblPr>
      <w:tblGrid>
        <w:gridCol w:w="9994"/>
      </w:tblGrid>
      <w:tr>
        <w:tc>
          <w:tcPr>
            <w:tcW w:type="dxa" w:w="9994"/>
            <w:shd w:fill="FFF2CC"/>
            <w:tcMar>
              <w:top w:w="130" w:type="dxa"/>
              <w:start w:w="150" w:type="dxa"/>
              <w:bottom w:w="130" w:type="dxa"/>
              <w:end w:w="150" w:type="dxa"/>
            </w:tcMar>
          </w:tcPr>
          <w:p>
            <w:pPr>
              <w:spacing w:after="0"/>
            </w:pPr>
            <w:r>
              <w:rPr>
                <w:b/>
              </w:rPr>
              <w:t>Draft-control notice:</w:t>
            </w:r>
            <w:r>
              <w:t xml:space="preserve"> Facts marked </w:t>
            </w:r>
            <w:r>
              <w:rPr>
                <w:b/>
              </w:rPr>
              <w:t>UNKNOWN</w:t>
            </w:r>
            <w:r>
              <w:t xml:space="preserve"> require local verification. Do not use this document to announce a road closure, shelter opening, evacuation, activation, or other operational decision.</w:t>
            </w:r>
          </w:p>
        </w:tc>
      </w:tr>
    </w:tbl>
    <w:p>
      <w:pPr>
        <w:spacing w:after="0"/>
      </w:pPr>
    </w:p>
    <w:p>
      <w:r>
        <w:br w:type="page"/>
      </w:r>
    </w:p>
    <w:p>
      <w:pPr>
        <w:pStyle w:val="Heading1"/>
      </w:pPr>
      <w:r>
        <w:t>1. Basics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County name</w:t>
            </w:r>
          </w:p>
        </w:tc>
        <w:tc>
          <w:tcPr>
            <w:tcW w:type="dxa" w:w="4997"/>
            <w:vAlign w:val="center"/>
            <w:tcMar>
              <w:top w:w="80" w:type="dxa"/>
              <w:start w:w="90" w:type="dxa"/>
              <w:bottom w:w="80" w:type="dxa"/>
              <w:end w:w="90" w:type="dxa"/>
            </w:tcMar>
          </w:tcPr>
          <w:p>
            <w:pPr>
              <w:spacing w:after="0" w:line="240" w:lineRule="auto"/>
            </w:pPr>
            <w:r>
              <w:rPr>
                <w:rFonts w:ascii="Aptos" w:hAnsi="Aptos"/>
                <w:sz w:val="17"/>
              </w:rPr>
              <w:t>Sanders County, Montana</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County seat</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Thompson Falls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Population</w:t>
            </w:r>
          </w:p>
        </w:tc>
        <w:tc>
          <w:tcPr>
            <w:tcW w:type="dxa" w:w="4997"/>
            <w:vAlign w:val="center"/>
            <w:tcMar>
              <w:top w:w="80" w:type="dxa"/>
              <w:start w:w="90" w:type="dxa"/>
              <w:bottom w:w="80" w:type="dxa"/>
              <w:end w:w="90" w:type="dxa"/>
            </w:tcMar>
          </w:tcPr>
          <w:p>
            <w:pPr>
              <w:spacing w:after="0" w:line="240" w:lineRule="auto"/>
            </w:pPr>
            <w:r>
              <w:rPr>
                <w:rFonts w:ascii="Aptos" w:hAnsi="Aptos"/>
                <w:sz w:val="17"/>
              </w:rPr>
              <w:t>approximately 14,062 (July 1, 2025 Census estimate); 12,400 (2020 Census)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Land area</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approximately 2,760 square miles (2020 Census land area); roughly 4.5 people per square mile</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Incorporated towns</w:t>
            </w:r>
          </w:p>
        </w:tc>
        <w:tc>
          <w:tcPr>
            <w:tcW w:type="dxa" w:w="4997"/>
            <w:vAlign w:val="center"/>
            <w:tcMar>
              <w:top w:w="80" w:type="dxa"/>
              <w:start w:w="90" w:type="dxa"/>
              <w:bottom w:w="80" w:type="dxa"/>
              <w:end w:w="90" w:type="dxa"/>
            </w:tcMar>
          </w:tcPr>
          <w:p>
            <w:pPr>
              <w:spacing w:after="0" w:line="240" w:lineRule="auto"/>
            </w:pPr>
            <w:r>
              <w:rPr>
                <w:rFonts w:ascii="Aptos" w:hAnsi="Aptos"/>
                <w:sz w:val="17"/>
              </w:rPr>
              <w:t>Thompson Falls (city; county seat), Plains (town), Hot Springs (town)</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Unincorporated communities commonly referenced</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Paradise, Trout Creek, Noxon, Heron, Dixon (Sčilíp), Lonepine, Belknap, Camas, Old Agency, Perma, White Pine, and other Highway 200 / reservation-side places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Adjacent counties</w:t>
            </w:r>
          </w:p>
        </w:tc>
        <w:tc>
          <w:tcPr>
            <w:tcW w:type="dxa" w:w="4997"/>
            <w:vAlign w:val="center"/>
            <w:tcMar>
              <w:top w:w="80" w:type="dxa"/>
              <w:start w:w="90" w:type="dxa"/>
              <w:bottom w:w="80" w:type="dxa"/>
              <w:end w:w="90" w:type="dxa"/>
            </w:tcMar>
          </w:tcPr>
          <w:p>
            <w:pPr>
              <w:spacing w:after="0" w:line="240" w:lineRule="auto"/>
            </w:pPr>
            <w:r>
              <w:rPr>
                <w:rFonts w:ascii="Aptos" w:hAnsi="Aptos"/>
                <w:sz w:val="17"/>
              </w:rPr>
              <w:t>Lincoln (north), Flathead (northeast), Lake (east), Missoula (southeast), Mineral (south); Shoshone County, Idaho (west); Bonner County, Idaho (northwest)</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Time zone</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Mountain Time; observes daylight saving time. Western border is near the Idaho / Pacific Time line; Idaho counties west of the line are on Pacific Time</w:t>
            </w:r>
          </w:p>
        </w:tc>
      </w:tr>
    </w:tbl>
    <w:p>
      <w:pPr>
        <w:spacing w:after="0"/>
      </w:pPr>
    </w:p>
    <w:p>
      <w:pPr>
        <w:pStyle w:val="Heading1"/>
      </w:pPr>
      <w:r>
        <w:t>2. Geography and infrastructure references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Major highways and routes</w:t>
            </w:r>
          </w:p>
        </w:tc>
        <w:tc>
          <w:tcPr>
            <w:tcW w:type="dxa" w:w="4997"/>
            <w:vAlign w:val="center"/>
            <w:tcMar>
              <w:top w:w="80" w:type="dxa"/>
              <w:start w:w="90" w:type="dxa"/>
              <w:bottom w:w="80" w:type="dxa"/>
              <w:end w:w="90" w:type="dxa"/>
            </w:tcMar>
          </w:tcPr>
          <w:p>
            <w:pPr>
              <w:spacing w:after="0" w:line="240" w:lineRule="auto"/>
            </w:pPr>
            <w:r>
              <w:rPr>
                <w:rFonts w:ascii="Aptos" w:hAnsi="Aptos"/>
                <w:sz w:val="17"/>
              </w:rPr>
              <w:t>Montana Highway 200 (main east–west corridor along the Clark Fork, from Missoula County through Plains, Paradise, Thompson Falls, Trout Creek, Noxon, and Heron toward Idaho); Montana Highway 28 (Plains north toward Hot Springs and on to the Flathead / Lake County area); Montana Highway 135 (south from near Paradise toward St. Regis / Mineral County); Montana Highway 77 / Hot Springs Road (from MT 28 to Hot Springs)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Rivers, creeks, and lakes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Clark Fork River (main stem through the county); Flathead River (joins the Clark Fork near Paradise / Perma area); Thompson River; Bull River; Noxon Reservoir (behind Noxon Rapids Dam); Cabinet Gorge Reservoir area near the Idaho line; numerous mountain tributaries and forest drainages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Named river or stream gauges used by this office</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Clark Fork near Plains (AHPS/NWRFC PLNM8; USGS 12389000) — action stage 15 ft, flood stage 16 ft, moderate 18 ft, major 19.5 ft (NWS WFO Missoula). Flathead River at Perma (AHPS/NWRFC PERM8; USGS 12388700) — monitored locally; published NWS flood-stage thresholds not listed on the NWRFC summary used for this draft. Confirm any additional office-preferred gauges (Thompson River, Bull River, dam outflows) with staff — UNKNOWN beyond the two above</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Rail lines and crossings of concern</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BNSF Railway main line along the Clark Fork / Highway 200 corridor (historically operated in part under Montana Rail Link arrangements). At-grade and corridor wildfire / hazmat exposure along the river valley is a known planning concern</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Airports or airstrips</w:t>
            </w:r>
          </w:p>
        </w:tc>
        <w:tc>
          <w:tcPr>
            <w:tcW w:type="dxa" w:w="4997"/>
            <w:vAlign w:val="center"/>
            <w:tcMar>
              <w:top w:w="80" w:type="dxa"/>
              <w:start w:w="90" w:type="dxa"/>
              <w:bottom w:w="80" w:type="dxa"/>
              <w:end w:w="90" w:type="dxa"/>
            </w:tcMar>
          </w:tcPr>
          <w:p>
            <w:pPr>
              <w:spacing w:after="0" w:line="240" w:lineRule="auto"/>
            </w:pPr>
            <w:r>
              <w:rPr>
                <w:rFonts w:ascii="Aptos" w:hAnsi="Aptos"/>
                <w:sz w:val="17"/>
              </w:rPr>
              <w:t>Thompson Falls Airport (public, county); Plains Airport; Hot Springs Airport. Nearest larger commercial service commonly referenced: Missoula Montana Airport (roughly 90–100 miles east via Highway 200)</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Terrain notes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Narrow river valley (Clark Fork) between the Cabinet Mountains (north) and Coeur d'Alene / Bitterroot-range foothills (south); steep forested slopes; WUI (wildland–urban interface) housing along the valley and side drainages; eastern county includes parts of the Flathead Indian Reservation / Bison Range vicinity; precipitation and vegetation shift from wetter west (Heron / Cabinet country) to drier east (Dixon area)</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Areas with a single access route</w:t>
            </w:r>
          </w:p>
        </w:tc>
        <w:tc>
          <w:tcPr>
            <w:tcW w:type="dxa" w:w="4997"/>
            <w:vAlign w:val="center"/>
            <w:tcMar>
              <w:top w:w="80" w:type="dxa"/>
              <w:start w:w="90" w:type="dxa"/>
              <w:bottom w:w="80" w:type="dxa"/>
              <w:end w:w="90" w:type="dxa"/>
            </w:tcMar>
          </w:tcPr>
          <w:p>
            <w:pPr>
              <w:spacing w:after="0" w:line="240" w:lineRule="auto"/>
            </w:pPr>
            <w:r>
              <w:rPr>
                <w:rFonts w:ascii="Aptos" w:hAnsi="Aptos"/>
                <w:sz w:val="17"/>
              </w:rPr>
              <w:t>Many side-canyon and ridge communities depend on one county or forest road off Highway 200. Western corridor communities (Trout Creek, Noxon, Heron) are highly dependent on Highway 200 remaining open. Thompson River / Snider / Copper King–type drainages have limited outbound routes during wildfire. Describe tactically only in internal plans — not here</w:t>
            </w:r>
          </w:p>
        </w:tc>
      </w:tr>
    </w:tbl>
    <w:p>
      <w:pPr>
        <w:spacing w:after="0"/>
      </w:pPr>
    </w:p>
    <w:p>
      <w:pPr>
        <w:pStyle w:val="Heading1"/>
      </w:pPr>
      <w:r>
        <w:t>3. Hazards</w:t>
      </w:r>
    </w:p>
    <w:p>
      <w:r>
        <w:t>From the Western Montana Regional Hazard Mitigation Plan (Sanders County participation), overall significance rankings for Sanders County, ordered here by local operational relevance rather than plan section order: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90" w:type="dxa"/>
              <w:bottom w:w="80" w:type="dxa"/>
              <w:end w:w="90" w:type="dxa"/>
            </w:tcMar>
            <w:shd w:fill="17365D"/>
          </w:tcPr>
          <w:p>
            <w:pPr>
              <w:spacing w:after="0" w:line="240" w:lineRule="auto"/>
            </w:pPr>
            <w:r>
              <w:rPr>
                <w:rFonts w:ascii="Aptos" w:hAnsi="Aptos"/>
                <w:b/>
                <w:color w:val="FFFFFF"/>
                <w:sz w:val="17"/>
              </w:rPr>
              <w:t>Hazard</w:t>
            </w:r>
          </w:p>
        </w:tc>
        <w:tc>
          <w:tcPr>
            <w:tcW w:type="dxa" w:w="3331"/>
            <w:vAlign w:val="center"/>
            <w:tcMar>
              <w:top w:w="80" w:type="dxa"/>
              <w:start w:w="90" w:type="dxa"/>
              <w:bottom w:w="80" w:type="dxa"/>
              <w:end w:w="90" w:type="dxa"/>
            </w:tcMar>
            <w:shd w:fill="17365D"/>
          </w:tcPr>
          <w:p>
            <w:pPr>
              <w:spacing w:after="0" w:line="240" w:lineRule="auto"/>
            </w:pPr>
            <w:r>
              <w:rPr>
                <w:rFonts w:ascii="Aptos" w:hAnsi="Aptos"/>
                <w:b/>
                <w:color w:val="FFFFFF"/>
                <w:sz w:val="17"/>
              </w:rPr>
              <w:t>Season</w:t>
            </w:r>
          </w:p>
        </w:tc>
        <w:tc>
          <w:tcPr>
            <w:tcW w:type="dxa" w:w="3331"/>
            <w:vAlign w:val="center"/>
            <w:tcMar>
              <w:top w:w="80" w:type="dxa"/>
              <w:start w:w="90" w:type="dxa"/>
              <w:bottom w:w="80" w:type="dxa"/>
              <w:end w:w="90" w:type="dxa"/>
            </w:tcMar>
            <w:shd w:fill="17365D"/>
          </w:tcPr>
          <w:p>
            <w:pPr>
              <w:spacing w:after="0" w:line="240" w:lineRule="auto"/>
            </w:pPr>
            <w:r>
              <w:rPr>
                <w:rFonts w:ascii="Aptos" w:hAnsi="Aptos"/>
                <w:b/>
                <w:color w:val="FFFFFF"/>
                <w:sz w:val="17"/>
              </w:rPr>
              <w:t>Typical local impact</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Wildfire</w:t>
            </w:r>
          </w:p>
        </w:tc>
        <w:tc>
          <w:tcPr>
            <w:tcW w:type="dxa" w:w="3331"/>
            <w:vAlign w:val="center"/>
            <w:tcMar>
              <w:top w:w="80" w:type="dxa"/>
              <w:start w:w="90" w:type="dxa"/>
              <w:bottom w:w="80" w:type="dxa"/>
              <w:end w:w="90" w:type="dxa"/>
            </w:tcMar>
          </w:tcPr>
          <w:p>
            <w:pPr>
              <w:spacing w:after="0" w:line="240" w:lineRule="auto"/>
            </w:pPr>
            <w:r>
              <w:rPr>
                <w:rFonts w:ascii="Aptos" w:hAnsi="Aptos"/>
                <w:sz w:val="17"/>
              </w:rPr>
              <w:t>Summer–early fall (can extend)</w:t>
            </w:r>
          </w:p>
        </w:tc>
        <w:tc>
          <w:tcPr>
            <w:tcW w:type="dxa" w:w="3331"/>
            <w:vAlign w:val="center"/>
            <w:tcMar>
              <w:top w:w="80" w:type="dxa"/>
              <w:start w:w="90" w:type="dxa"/>
              <w:bottom w:w="80" w:type="dxa"/>
              <w:end w:w="90" w:type="dxa"/>
            </w:tcMar>
          </w:tcPr>
          <w:p>
            <w:pPr>
              <w:spacing w:after="0" w:line="240" w:lineRule="auto"/>
            </w:pPr>
            <w:r>
              <w:rPr>
                <w:rFonts w:ascii="Aptos" w:hAnsi="Aptos"/>
                <w:sz w:val="17"/>
              </w:rPr>
              <w:t>Evacuations, Highway 200 closures, structure loss, smoke, resource draw on volunteer fire; High significance in regional HMP</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Drought</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Summer–fall; multi-year</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Elevated fire danger, forage and water stress for agriculture and livestock; High significance</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Flooding (riverine / runoff)</w:t>
            </w:r>
          </w:p>
        </w:tc>
        <w:tc>
          <w:tcPr>
            <w:tcW w:type="dxa" w:w="3331"/>
            <w:vAlign w:val="center"/>
            <w:tcMar>
              <w:top w:w="80" w:type="dxa"/>
              <w:start w:w="90" w:type="dxa"/>
              <w:bottom w:w="80" w:type="dxa"/>
              <w:end w:w="90" w:type="dxa"/>
            </w:tcMar>
          </w:tcPr>
          <w:p>
            <w:pPr>
              <w:spacing w:after="0" w:line="240" w:lineRule="auto"/>
            </w:pPr>
            <w:r>
              <w:rPr>
                <w:rFonts w:ascii="Aptos" w:hAnsi="Aptos"/>
                <w:sz w:val="17"/>
              </w:rPr>
              <w:t>Spring snowmelt; also rain-on-snow or intense rain</w:t>
            </w:r>
          </w:p>
        </w:tc>
        <w:tc>
          <w:tcPr>
            <w:tcW w:type="dxa" w:w="3331"/>
            <w:vAlign w:val="center"/>
            <w:tcMar>
              <w:top w:w="80" w:type="dxa"/>
              <w:start w:w="90" w:type="dxa"/>
              <w:bottom w:w="80" w:type="dxa"/>
              <w:end w:w="90" w:type="dxa"/>
            </w:tcMar>
          </w:tcPr>
          <w:p>
            <w:pPr>
              <w:spacing w:after="0" w:line="240" w:lineRule="auto"/>
            </w:pPr>
            <w:r>
              <w:rPr>
                <w:rFonts w:ascii="Aptos" w:hAnsi="Aptos"/>
                <w:sz w:val="17"/>
              </w:rPr>
              <w:t>Clark Fork and Flathead bottoms, roads/bridges, infrastructure; Medium significance. Dec 2025 local emergency declaration for landslide/flood risk</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Severe winter weather</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November–March</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Closures on Highway 200 and mountain laterals, power outages, delayed EMS/fire</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High wind / severe summer weather</w:t>
            </w:r>
          </w:p>
        </w:tc>
        <w:tc>
          <w:tcPr>
            <w:tcW w:type="dxa" w:w="3331"/>
            <w:vAlign w:val="center"/>
            <w:tcMar>
              <w:top w:w="80" w:type="dxa"/>
              <w:start w:w="90" w:type="dxa"/>
              <w:bottom w:w="80" w:type="dxa"/>
              <w:end w:w="90" w:type="dxa"/>
            </w:tcMar>
          </w:tcPr>
          <w:p>
            <w:pPr>
              <w:spacing w:after="0" w:line="240" w:lineRule="auto"/>
            </w:pPr>
            <w:r>
              <w:rPr>
                <w:rFonts w:ascii="Aptos" w:hAnsi="Aptos"/>
                <w:sz w:val="17"/>
              </w:rPr>
              <w:t>Spring–fall</w:t>
            </w:r>
          </w:p>
        </w:tc>
        <w:tc>
          <w:tcPr>
            <w:tcW w:type="dxa" w:w="3331"/>
            <w:vAlign w:val="center"/>
            <w:tcMar>
              <w:top w:w="80" w:type="dxa"/>
              <w:start w:w="90" w:type="dxa"/>
              <w:bottom w:w="80" w:type="dxa"/>
              <w:end w:w="90" w:type="dxa"/>
            </w:tcMar>
          </w:tcPr>
          <w:p>
            <w:pPr>
              <w:spacing w:after="0" w:line="240" w:lineRule="auto"/>
            </w:pPr>
            <w:r>
              <w:rPr>
                <w:rFonts w:ascii="Aptos" w:hAnsi="Aptos"/>
                <w:sz w:val="17"/>
              </w:rPr>
              <w:t>Tree-down power outages countywide, road blockage, fire weather (red flag)</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Dam-related flooding / regulated flows</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Year-round (rare catastrophic failure); spring operations</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Thompson Falls Dam (NorthWestern Energy), Noxon Rapids Dam and Cabinet Gorge Dam (Avista). HMP dam-failure significance for Sanders rated Low, but downstream awareness remains relevant</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Hazardous materials (rail / highway / fixed)</w:t>
            </w:r>
          </w:p>
        </w:tc>
        <w:tc>
          <w:tcPr>
            <w:tcW w:type="dxa" w:w="3331"/>
            <w:vAlign w:val="center"/>
            <w:tcMar>
              <w:top w:w="80" w:type="dxa"/>
              <w:start w:w="90" w:type="dxa"/>
              <w:bottom w:w="80" w:type="dxa"/>
              <w:end w:w="90" w:type="dxa"/>
            </w:tcMar>
          </w:tcPr>
          <w:p>
            <w:pPr>
              <w:spacing w:after="0" w:line="240" w:lineRule="auto"/>
            </w:pPr>
            <w:r>
              <w:rPr>
                <w:rFonts w:ascii="Aptos" w:hAnsi="Aptos"/>
                <w:sz w:val="17"/>
              </w:rPr>
              <w:t>Year-round</w:t>
            </w:r>
          </w:p>
        </w:tc>
        <w:tc>
          <w:tcPr>
            <w:tcW w:type="dxa" w:w="3331"/>
            <w:vAlign w:val="center"/>
            <w:tcMar>
              <w:top w:w="80" w:type="dxa"/>
              <w:start w:w="90" w:type="dxa"/>
              <w:bottom w:w="80" w:type="dxa"/>
              <w:end w:w="90" w:type="dxa"/>
            </w:tcMar>
          </w:tcPr>
          <w:p>
            <w:pPr>
              <w:spacing w:after="0" w:line="240" w:lineRule="auto"/>
            </w:pPr>
            <w:r>
              <w:rPr>
                <w:rFonts w:ascii="Aptos" w:hAnsi="Aptos"/>
                <w:sz w:val="17"/>
              </w:rPr>
              <w:t>BNSF corridor and Highway 200 truck traffic; Tier II facilities coordinated through LEPC</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Communicable disease / public health</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Year-round</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Coordinated with Sanders County Public Health; Medium significance in HMP</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Earthquake</w:t>
            </w:r>
          </w:p>
        </w:tc>
        <w:tc>
          <w:tcPr>
            <w:tcW w:type="dxa" w:w="3331"/>
            <w:vAlign w:val="center"/>
            <w:tcMar>
              <w:top w:w="80" w:type="dxa"/>
              <w:start w:w="90" w:type="dxa"/>
              <w:bottom w:w="80" w:type="dxa"/>
              <w:end w:w="90" w:type="dxa"/>
            </w:tcMar>
          </w:tcPr>
          <w:p>
            <w:pPr>
              <w:spacing w:after="0" w:line="240" w:lineRule="auto"/>
            </w:pPr>
            <w:r>
              <w:rPr>
                <w:rFonts w:ascii="Aptos" w:hAnsi="Aptos"/>
                <w:sz w:val="17"/>
              </w:rPr>
              <w:t>Year-round (rare)</w:t>
            </w:r>
          </w:p>
        </w:tc>
        <w:tc>
          <w:tcPr>
            <w:tcW w:type="dxa" w:w="3331"/>
            <w:vAlign w:val="center"/>
            <w:tcMar>
              <w:top w:w="80" w:type="dxa"/>
              <w:start w:w="90" w:type="dxa"/>
              <w:bottom w:w="80" w:type="dxa"/>
              <w:end w:w="90" w:type="dxa"/>
            </w:tcMar>
          </w:tcPr>
          <w:p>
            <w:pPr>
              <w:spacing w:after="0" w:line="240" w:lineRule="auto"/>
            </w:pPr>
            <w:r>
              <w:rPr>
                <w:rFonts w:ascii="Aptos" w:hAnsi="Aptos"/>
                <w:sz w:val="17"/>
              </w:rPr>
              <w:t>Low significance in HMP for Sanders</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Landslide / slope failure</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Wet seasons; after burns</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Road and bridge threat in steep drainages; Low–Medium context; referenced in Dec 2025 emergency meeting</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Avalanche</w:t>
            </w:r>
          </w:p>
        </w:tc>
        <w:tc>
          <w:tcPr>
            <w:tcW w:type="dxa" w:w="3331"/>
            <w:vAlign w:val="center"/>
            <w:tcMar>
              <w:top w:w="80" w:type="dxa"/>
              <w:start w:w="90" w:type="dxa"/>
              <w:bottom w:w="80" w:type="dxa"/>
              <w:end w:w="90" w:type="dxa"/>
            </w:tcMar>
          </w:tcPr>
          <w:p>
            <w:pPr>
              <w:spacing w:after="0" w:line="240" w:lineRule="auto"/>
            </w:pPr>
            <w:r>
              <w:rPr>
                <w:rFonts w:ascii="Aptos" w:hAnsi="Aptos"/>
                <w:sz w:val="17"/>
              </w:rPr>
              <w:t>Winter–spring</w:t>
            </w:r>
          </w:p>
        </w:tc>
        <w:tc>
          <w:tcPr>
            <w:tcW w:type="dxa" w:w="3331"/>
            <w:vAlign w:val="center"/>
            <w:tcMar>
              <w:top w:w="80" w:type="dxa"/>
              <w:start w:w="90" w:type="dxa"/>
              <w:bottom w:w="80" w:type="dxa"/>
              <w:end w:w="90" w:type="dxa"/>
            </w:tcMar>
          </w:tcPr>
          <w:p>
            <w:pPr>
              <w:spacing w:after="0" w:line="240" w:lineRule="auto"/>
            </w:pPr>
            <w:r>
              <w:rPr>
                <w:rFonts w:ascii="Aptos" w:hAnsi="Aptos"/>
                <w:sz w:val="17"/>
              </w:rPr>
              <w:t>Low significance for incorporated places; mountain recreation drainages</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Volcanic ash</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Rare</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Low significance (Cascade ashfall scenario)</w:t>
            </w:r>
          </w:p>
        </w:tc>
      </w:tr>
    </w:tbl>
    <w:p>
      <w:pPr>
        <w:spacing w:after="0"/>
      </w:pPr>
    </w:p>
    <w:p>
      <w:pPr>
        <w:pStyle w:val="Heading2"/>
      </w:pPr>
      <w:r>
        <w:t>Publicly reported significant events</w:t>
      </w:r>
    </w:p>
    <w:p>
      <w:pPr>
        <w:pStyle w:val="ListBullet"/>
      </w:pPr>
      <w:r>
        <w:t>August 2023 — River Road East Fire near Paradise: roughly 17,000+ acres, multiple homes / structures lost, Highway 200 segment closures, evacuations; Red Cross shelter opened at Church on the Move in Plains. Origin near the rail corridor remains a matter of public litigation and investigation reporting — do not assert cause in AI products unless confirmed by official inputs</w:t>
      </w:r>
    </w:p>
    <w:p>
      <w:pPr>
        <w:pStyle w:val="ListBullet"/>
      </w:pPr>
      <w:r>
        <w:t>Thorne Creek Fire (public reporting): evacuations near Thompson Falls (Snider / Copper King area); Red Cross evacuation center at Thompson Falls Community Center</w:t>
      </w:r>
    </w:p>
    <w:p>
      <w:pPr>
        <w:pStyle w:val="ListBullet"/>
      </w:pPr>
      <w:r>
        <w:t>December 2025 — Board of County Commissioners emergency declaration for potential landslides and flooding during intense rain; coincided with broader northwest Montana flood disaster activity</w:t>
      </w:r>
    </w:p>
    <w:p>
      <w:pPr>
        <w:pStyle w:val="ListBullet"/>
      </w:pPr>
      <w:r>
        <w:t>Winter wind events (publicly discussed by Emergency Management): multi-community power outages</w:t>
      </w:r>
    </w:p>
    <w:p>
      <w:pPr>
        <w:pStyle w:val="ListBullet"/>
      </w:pPr>
      <w:r>
        <w:t>Historic Clark Fork high water at Plains gauge: record stage 19.17 ft / 134,000 cfs on June 5, 1948 (NWRFC station summary)</w:t>
      </w:r>
    </w:p>
    <w:p>
      <w:pPr>
        <w:pStyle w:val="Heading1"/>
      </w:pPr>
      <w:r>
        <w:t>4. Emergency management organization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Office staffing</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one Emergency Management Coordinator (Office of Emergency Management). Prior public HMP participant lists also referenced a deputy OEM role; confirm current deputy / part-time support with the office — UNKNOWN for current secondary staffing</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EOC location and type</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publicly identified candidate locations include the county courthouse, a DNRC facility, and at least one additional site (third site not fully named in the public LEPC minutes reviewed). Public LEPC discussion has stated the EOC has never been activated. Confirm primary / alternate EOC and layout with staff before treating as final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Activation levels used</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UNKNOWN from published materials reviewed for this draft. Do not invent ICS or county-specific level names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Who declares a local emergency</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principal executive officer of the political subdivision under MCA 10-3-402 / 10-3-403 — in practice the Board of County Commissioners by order or resolution (recent examples: fire-season and flood-related resolutions)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Who authorizes public messaging</w:t>
            </w:r>
          </w:p>
        </w:tc>
        <w:tc>
          <w:tcPr>
            <w:tcW w:type="dxa" w:w="4997"/>
            <w:vAlign w:val="center"/>
            <w:tcMar>
              <w:top w:w="80" w:type="dxa"/>
              <w:start w:w="90" w:type="dxa"/>
              <w:bottom w:w="80" w:type="dxa"/>
              <w:end w:w="90" w:type="dxa"/>
            </w:tcMar>
          </w:tcPr>
          <w:p>
            <w:pPr>
              <w:spacing w:after="0" w:line="240" w:lineRule="auto"/>
            </w:pPr>
            <w:r>
              <w:rPr>
                <w:rFonts w:ascii="Aptos" w:hAnsi="Aptos"/>
                <w:sz w:val="17"/>
              </w:rPr>
              <w:t>Office of Emergency Management / Emergency Management Coordinator for EM alert and preparedness messaging; Sheriff's Office commonly issues evacuation orders and field public safety notices. Confirm PIO arrangement — no dedicated full-time PIO is described in public materials reviewed</w:t>
            </w:r>
          </w:p>
        </w:tc>
      </w:tr>
    </w:tbl>
    <w:p>
      <w:pPr>
        <w:spacing w:after="0"/>
      </w:pPr>
    </w:p>
    <w:p>
      <w:pPr>
        <w:pStyle w:val="Heading1"/>
      </w:pPr>
      <w:r>
        <w:t>5. Response resources, described generally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Fire</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on the order of eleven fire departments / rural fire districts countywide (HIFLD / public listings), predominantly volunteer (examples publicly named: Thompson Falls Volunteer / Rural, Plains Volunteer, Plains-Paradise Rural, Trout Creek Rural, Noxon Rural, Heron Rural, Hot Springs Volunteer, Dixon Rural). Exact roster counts and combination status: verify locally</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EMS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Plains Community Ambulance — nonprofit BLS/ALS service for the Plains area with mutual-aid reach across the county; interfacility transport to/from Clark Fork Valley Hospital. Additional EMS capability is associated with some fire departments. Countywide 24/7 ALS coverage pattern: confirm with EMS leadership — do not invent unit counts or response-time averages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Law enforcement</w:t>
            </w:r>
          </w:p>
        </w:tc>
        <w:tc>
          <w:tcPr>
            <w:tcW w:type="dxa" w:w="4997"/>
            <w:vAlign w:val="center"/>
            <w:tcMar>
              <w:top w:w="80" w:type="dxa"/>
              <w:start w:w="90" w:type="dxa"/>
              <w:bottom w:w="80" w:type="dxa"/>
              <w:end w:w="90" w:type="dxa"/>
            </w:tcMar>
          </w:tcPr>
          <w:p>
            <w:pPr>
              <w:spacing w:after="0" w:line="240" w:lineRule="auto"/>
            </w:pPr>
            <w:r>
              <w:rPr>
                <w:rFonts w:ascii="Aptos" w:hAnsi="Aptos"/>
                <w:sz w:val="17"/>
              </w:rPr>
              <w:t>Sanders County Sheriff's Office (Thompson Falls) covers unincorporated areas and supports towns; municipal police departments publicly listed in Thompson Falls, Plains, and Hot Springs; Montana Highway Patrol on Highway 200 and related corridors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Dispatch</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county 911 / PSAP coordinated from the Thompson Falls area (Sheriff's Office public non-emergency line published as 406-827-3584). Confirm whether dispatch is solely county or shared — public scanner references describe Sanders County 911 Dispatch in Thompson Falls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Public works and road department</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Sanders County Road Department maintains county roads; municipal public works in incorporated places; Montana Department of Transportation for state highways. Equipment classes and staffing levels: UNKNOWN from Green sources reviewed</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Hospital</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Clark Fork Valley Hospital, Plains — 16-bed critical access hospital; affiliated Family Medicine Network clinics in Plains, Thompson Falls, and Hot Springs; hospital-managed long-term care with 28 beds. Regional referral commonly to Missoula-area facilities for higher acuity (drive time roughly 1.5–2 hours in good conditions)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Public health</w:t>
            </w:r>
          </w:p>
        </w:tc>
        <w:tc>
          <w:tcPr>
            <w:tcW w:type="dxa" w:w="4997"/>
            <w:vAlign w:val="center"/>
            <w:tcMar>
              <w:top w:w="80" w:type="dxa"/>
              <w:start w:w="90" w:type="dxa"/>
              <w:bottom w:w="80" w:type="dxa"/>
              <w:end w:w="90" w:type="dxa"/>
            </w:tcMar>
          </w:tcPr>
          <w:p>
            <w:pPr>
              <w:spacing w:after="0" w:line="240" w:lineRule="auto"/>
            </w:pPr>
            <w:r>
              <w:rPr>
                <w:rFonts w:ascii="Aptos" w:hAnsi="Aptos"/>
                <w:sz w:val="17"/>
              </w:rPr>
              <w:t>Sanders County Public Health (Thompson Falls; published main line 406-827-6931), including WIC and related programs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Emergency management volunteers</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CERT / ARES / auxiliary status UNKNOWN from sources reviewed. Search and rescue capacity historically referenced in public EM hiring coverage; confirm current SAR affiliation and activation path with the Sheriff's Office / OEM</w:t>
            </w:r>
          </w:p>
        </w:tc>
      </w:tr>
    </w:tbl>
    <w:p>
      <w:pPr>
        <w:spacing w:after="0"/>
      </w:pPr>
    </w:p>
    <w:p>
      <w:pPr>
        <w:pStyle w:val="Heading1"/>
      </w:pPr>
      <w:r>
        <w:t>6. Facilities used in emergencies</w:t>
      </w:r>
    </w:p>
    <w:p>
      <w:r>
        <w:t>Publicly known facilities only. Shelter designations change by incident — treat the table as historical / typical uses from public reporting, not a standing open-shelter list.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90" w:type="dxa"/>
              <w:bottom w:w="80" w:type="dxa"/>
              <w:end w:w="90" w:type="dxa"/>
            </w:tcMar>
            <w:shd w:fill="17365D"/>
          </w:tcPr>
          <w:p>
            <w:pPr>
              <w:spacing w:after="0" w:line="240" w:lineRule="auto"/>
            </w:pPr>
            <w:r>
              <w:rPr>
                <w:rFonts w:ascii="Aptos" w:hAnsi="Aptos"/>
                <w:b/>
                <w:color w:val="FFFFFF"/>
                <w:sz w:val="17"/>
              </w:rPr>
              <w:t>Facility</w:t>
            </w:r>
          </w:p>
        </w:tc>
        <w:tc>
          <w:tcPr>
            <w:tcW w:type="dxa" w:w="3331"/>
            <w:vAlign w:val="center"/>
            <w:tcMar>
              <w:top w:w="80" w:type="dxa"/>
              <w:start w:w="90" w:type="dxa"/>
              <w:bottom w:w="80" w:type="dxa"/>
              <w:end w:w="90" w:type="dxa"/>
            </w:tcMar>
            <w:shd w:fill="17365D"/>
          </w:tcPr>
          <w:p>
            <w:pPr>
              <w:spacing w:after="0" w:line="240" w:lineRule="auto"/>
            </w:pPr>
            <w:r>
              <w:rPr>
                <w:rFonts w:ascii="Aptos" w:hAnsi="Aptos"/>
                <w:b/>
                <w:color w:val="FFFFFF"/>
                <w:sz w:val="17"/>
              </w:rPr>
              <w:t>Type</w:t>
            </w:r>
          </w:p>
        </w:tc>
        <w:tc>
          <w:tcPr>
            <w:tcW w:type="dxa" w:w="3331"/>
            <w:vAlign w:val="center"/>
            <w:tcMar>
              <w:top w:w="80" w:type="dxa"/>
              <w:start w:w="90" w:type="dxa"/>
              <w:bottom w:w="80" w:type="dxa"/>
              <w:end w:w="90" w:type="dxa"/>
            </w:tcMar>
            <w:shd w:fill="17365D"/>
          </w:tcPr>
          <w:p>
            <w:pPr>
              <w:spacing w:after="0" w:line="240" w:lineRule="auto"/>
            </w:pPr>
            <w:r>
              <w:rPr>
                <w:rFonts w:ascii="Aptos" w:hAnsi="Aptos"/>
                <w:b/>
                <w:color w:val="FFFFFF"/>
                <w:sz w:val="17"/>
              </w:rPr>
              <w:t>Typical role</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Thompson Falls Community Center</w:t>
            </w:r>
          </w:p>
        </w:tc>
        <w:tc>
          <w:tcPr>
            <w:tcW w:type="dxa" w:w="3331"/>
            <w:vAlign w:val="center"/>
            <w:tcMar>
              <w:top w:w="80" w:type="dxa"/>
              <w:start w:w="90" w:type="dxa"/>
              <w:bottom w:w="80" w:type="dxa"/>
              <w:end w:w="90" w:type="dxa"/>
            </w:tcMar>
          </w:tcPr>
          <w:p>
            <w:pPr>
              <w:spacing w:after="0" w:line="240" w:lineRule="auto"/>
            </w:pPr>
            <w:r>
              <w:rPr>
                <w:rFonts w:ascii="Aptos" w:hAnsi="Aptos"/>
                <w:sz w:val="17"/>
              </w:rPr>
              <w:t>Community center</w:t>
            </w:r>
          </w:p>
        </w:tc>
        <w:tc>
          <w:tcPr>
            <w:tcW w:type="dxa" w:w="3331"/>
            <w:vAlign w:val="center"/>
            <w:tcMar>
              <w:top w:w="80" w:type="dxa"/>
              <w:start w:w="90" w:type="dxa"/>
              <w:bottom w:w="80" w:type="dxa"/>
              <w:end w:w="90" w:type="dxa"/>
            </w:tcMar>
          </w:tcPr>
          <w:p>
            <w:pPr>
              <w:spacing w:after="0" w:line="240" w:lineRule="auto"/>
            </w:pPr>
            <w:r>
              <w:rPr>
                <w:rFonts w:ascii="Aptos" w:hAnsi="Aptos"/>
                <w:sz w:val="17"/>
              </w:rPr>
              <w:t>Evacuation / Red Cross reception (used in Thorne Creek Fire reporting)</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Church on the Move, Plains</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Church</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Evacuation shelter / Red Cross (used in River Road East Fire reporting); food bank ministry adjacent</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Sanders County Fairgrounds, Plains (30 River Road)</w:t>
            </w:r>
          </w:p>
        </w:tc>
        <w:tc>
          <w:tcPr>
            <w:tcW w:type="dxa" w:w="3331"/>
            <w:vAlign w:val="center"/>
            <w:tcMar>
              <w:top w:w="80" w:type="dxa"/>
              <w:start w:w="90" w:type="dxa"/>
              <w:bottom w:w="80" w:type="dxa"/>
              <w:end w:w="90" w:type="dxa"/>
            </w:tcMar>
          </w:tcPr>
          <w:p>
            <w:pPr>
              <w:spacing w:after="0" w:line="240" w:lineRule="auto"/>
            </w:pPr>
            <w:r>
              <w:rPr>
                <w:rFonts w:ascii="Aptos" w:hAnsi="Aptos"/>
                <w:sz w:val="17"/>
              </w:rPr>
              <w:t>Fairgrounds</w:t>
            </w:r>
          </w:p>
        </w:tc>
        <w:tc>
          <w:tcPr>
            <w:tcW w:type="dxa" w:w="3331"/>
            <w:vAlign w:val="center"/>
            <w:tcMar>
              <w:top w:w="80" w:type="dxa"/>
              <w:start w:w="90" w:type="dxa"/>
              <w:bottom w:w="80" w:type="dxa"/>
              <w:end w:w="90" w:type="dxa"/>
            </w:tcMar>
          </w:tcPr>
          <w:p>
            <w:pPr>
              <w:spacing w:after="0" w:line="240" w:lineRule="auto"/>
            </w:pPr>
            <w:r>
              <w:rPr>
                <w:rFonts w:ascii="Aptos" w:hAnsi="Aptos"/>
                <w:sz w:val="17"/>
              </w:rPr>
              <w:t>Staging, large-animal / camping capacity; county has discussed emergency-use planning for the grounds</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Clark Fork Valley Hospital campus, Plains</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Hospital / LTC</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Medical surge, continuity of care; not a general public shelter</w:t>
            </w:r>
          </w:p>
        </w:tc>
      </w:tr>
      <w:tr>
        <w:tc>
          <w:tcPr>
            <w:tcW w:type="dxa" w:w="3331"/>
            <w:vAlign w:val="center"/>
            <w:tcMar>
              <w:top w:w="80" w:type="dxa"/>
              <w:start w:w="90" w:type="dxa"/>
              <w:bottom w:w="80" w:type="dxa"/>
              <w:end w:w="90" w:type="dxa"/>
            </w:tcMar>
          </w:tcPr>
          <w:p>
            <w:pPr>
              <w:spacing w:after="0" w:line="240" w:lineRule="auto"/>
            </w:pPr>
            <w:r>
              <w:rPr>
                <w:rFonts w:ascii="Aptos" w:hAnsi="Aptos"/>
                <w:sz w:val="17"/>
              </w:rPr>
              <w:t>Local schools (Thompson Falls, Plains, Hot Springs, Noxon, and other public schools)</w:t>
            </w:r>
          </w:p>
        </w:tc>
        <w:tc>
          <w:tcPr>
            <w:tcW w:type="dxa" w:w="3331"/>
            <w:vAlign w:val="center"/>
            <w:tcMar>
              <w:top w:w="80" w:type="dxa"/>
              <w:start w:w="90" w:type="dxa"/>
              <w:bottom w:w="80" w:type="dxa"/>
              <w:end w:w="90" w:type="dxa"/>
            </w:tcMar>
          </w:tcPr>
          <w:p>
            <w:pPr>
              <w:spacing w:after="0" w:line="240" w:lineRule="auto"/>
            </w:pPr>
            <w:r>
              <w:rPr>
                <w:rFonts w:ascii="Aptos" w:hAnsi="Aptos"/>
                <w:sz w:val="17"/>
              </w:rPr>
              <w:t>Schools</w:t>
            </w:r>
          </w:p>
        </w:tc>
        <w:tc>
          <w:tcPr>
            <w:tcW w:type="dxa" w:w="3331"/>
            <w:vAlign w:val="center"/>
            <w:tcMar>
              <w:top w:w="80" w:type="dxa"/>
              <w:start w:w="90" w:type="dxa"/>
              <w:bottom w:w="80" w:type="dxa"/>
              <w:end w:w="90" w:type="dxa"/>
            </w:tcMar>
          </w:tcPr>
          <w:p>
            <w:pPr>
              <w:spacing w:after="0" w:line="240" w:lineRule="auto"/>
            </w:pPr>
            <w:r>
              <w:rPr>
                <w:rFonts w:ascii="Aptos" w:hAnsi="Aptos"/>
                <w:sz w:val="17"/>
              </w:rPr>
              <w:t>Potential shelter / reunification — confirm MOUs before naming as open</w:t>
            </w:r>
          </w:p>
        </w:tc>
      </w:tr>
      <w:tr>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Senior / community centers (Thompson Falls, Plains/Paradise, Trout Creek, Noxon, Heron, Hot Springs, Dixon)</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Senior / community centers</w:t>
            </w:r>
          </w:p>
        </w:tc>
        <w:tc>
          <w:tcPr>
            <w:tcW w:type="dxa" w:w="3331"/>
            <w:vAlign w:val="center"/>
            <w:tcMar>
              <w:top w:w="80" w:type="dxa"/>
              <w:start w:w="90" w:type="dxa"/>
              <w:bottom w:w="80" w:type="dxa"/>
              <w:end w:w="90" w:type="dxa"/>
            </w:tcMar>
            <w:shd w:fill="F5F7FA"/>
          </w:tcPr>
          <w:p>
            <w:pPr>
              <w:spacing w:after="0" w:line="240" w:lineRule="auto"/>
            </w:pPr>
            <w:r>
              <w:rPr>
                <w:rFonts w:ascii="Aptos" w:hAnsi="Aptos"/>
                <w:sz w:val="17"/>
              </w:rPr>
              <w:t>Warming / cooling / information points when designated</w:t>
            </w:r>
          </w:p>
        </w:tc>
      </w:tr>
    </w:tbl>
    <w:p>
      <w:pPr>
        <w:spacing w:after="0"/>
      </w:pPr>
    </w:p>
    <w:p>
      <w:r>
        <w:t>Notes: Generator availability, ADA detail, and capacity ranges for most facilities are UNKNOWN from Green sources reviewed. Do not invent generator or bed counts.</w:t>
      </w:r>
    </w:p>
    <w:p>
      <w:pPr>
        <w:pStyle w:val="Heading1"/>
      </w:pPr>
      <w:r>
        <w:t>7. Public warning and information channels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Mass notification system</w:t>
            </w:r>
          </w:p>
        </w:tc>
        <w:tc>
          <w:tcPr>
            <w:tcW w:type="dxa" w:w="4997"/>
            <w:vAlign w:val="center"/>
            <w:tcMar>
              <w:top w:w="80" w:type="dxa"/>
              <w:start w:w="90" w:type="dxa"/>
              <w:bottom w:w="80" w:type="dxa"/>
              <w:end w:w="90" w:type="dxa"/>
            </w:tcMar>
          </w:tcPr>
          <w:p>
            <w:pPr>
              <w:spacing w:after="0" w:line="240" w:lineRule="auto"/>
            </w:pPr>
            <w:r>
              <w:rPr>
                <w:rFonts w:ascii="Aptos" w:hAnsi="Aptos"/>
                <w:sz w:val="17"/>
              </w:rPr>
              <w:t>Hyper-Reach (county emergency notification). Community signup page linked from county Emergency Management; call-in signup number published on the county site as 406-203-0082. Local reporting also describes texting "Alert" to a Hyper-Reach short code / number — confirm the current signup path on the county website before publishing instructions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Alert character limit</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UNKNOWN (confirm Hyper-Reach SMS vs. app/email limits with the vendor settings used by the county). Draft SMS as short and actionable</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Outdoor warning sirens</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UNKNOWN / no countywide outdoor siren system identified in sources reviewed. Do not assume siren coverage</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County website</w:t>
            </w:r>
          </w:p>
        </w:tc>
        <w:tc>
          <w:tcPr>
            <w:tcW w:type="dxa" w:w="4997"/>
            <w:vAlign w:val="center"/>
            <w:tcMar>
              <w:top w:w="80" w:type="dxa"/>
              <w:start w:w="90" w:type="dxa"/>
              <w:bottom w:w="80" w:type="dxa"/>
              <w:end w:w="90" w:type="dxa"/>
            </w:tcMar>
            <w:shd w:fill="F5F7FA"/>
          </w:tcPr>
          <w:p>
            <w:pPr>
              <w:spacing w:after="0" w:line="240" w:lineRule="auto"/>
            </w:pPr>
            <w:hyperlink r:id="rId11">
              <w:r>
                <w:rPr>
                  <w:color w:val="2F5597"/>
                  <w:u w:val="single"/>
                </w:rPr>
                <w:t>https://www.co.sanders.mt.us/</w:t>
              </w:r>
            </w:hyperlink>
            <w:r>
              <w:rPr>
                <w:rFonts w:ascii="Aptos" w:hAnsi="Aptos"/>
                <w:sz w:val="17"/>
              </w:rPr>
              <w:t xml:space="preserve"> (Emergency Management: </w:t>
            </w:r>
            <w:hyperlink r:id="rId12">
              <w:r>
                <w:rPr>
                  <w:color w:val="2F5597"/>
                  <w:u w:val="single"/>
                </w:rPr>
                <w:t>https://www.co.sanders.mt.us/202/Emergency-Management</w:t>
              </w:r>
            </w:hyperlink>
            <w:r>
              <w:rPr>
                <w:rFonts w:ascii="Aptos" w:hAnsi="Aptos"/>
                <w:sz w:val="17"/>
              </w:rPr>
              <w:t>;</w:t>
            </w:r>
            <w:r>
              <w:rPr>
                <w:rFonts w:ascii="Aptos" w:hAnsi="Aptos"/>
                <w:sz w:val="17"/>
              </w:rPr>
              <w:t xml:space="preserve"> Plans: </w:t>
            </w:r>
            <w:hyperlink r:id="rId13">
              <w:r>
                <w:rPr>
                  <w:color w:val="2F5597"/>
                  <w:u w:val="single"/>
                </w:rPr>
                <w:t>https://www.co.sanders.mt.us/253/Plans</w:t>
              </w:r>
            </w:hyperlink>
            <w:r>
              <w:rPr>
                <w:rFonts w:ascii="Aptos" w:hAnsi="Aptos"/>
                <w:sz w:val="17"/>
              </w:rPr>
              <w:t>)</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Official social media</w:t>
            </w:r>
          </w:p>
        </w:tc>
        <w:tc>
          <w:tcPr>
            <w:tcW w:type="dxa" w:w="4997"/>
            <w:vAlign w:val="center"/>
            <w:tcMar>
              <w:top w:w="80" w:type="dxa"/>
              <w:start w:w="90" w:type="dxa"/>
              <w:bottom w:w="80" w:type="dxa"/>
              <w:end w:w="90" w:type="dxa"/>
            </w:tcMar>
          </w:tcPr>
          <w:p>
            <w:pPr>
              <w:spacing w:after="0" w:line="240" w:lineRule="auto"/>
            </w:pPr>
            <w:r>
              <w:rPr>
                <w:rFonts w:ascii="Aptos" w:hAnsi="Aptos"/>
                <w:sz w:val="17"/>
              </w:rPr>
              <w:t>Sanders County Emergency Management (Facebook); Fire Information–Sanders County (Facebook), per public EM outreach reporting. Confirm current official account names before directing the public</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Local radio</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limited local over-the-air service. Publicly referenced options include KPLG 91.5 FM (Plains translator / religious network) and regional country AM KERR 750 (Polson — Montana EAS primary entry point). A short-range Clark Fork River Radio effort in Plains has been reported; treat current status as UNKNOWN. Rely on Hyper-Reach and official social first</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Local newspaper</w:t>
            </w:r>
          </w:p>
        </w:tc>
        <w:tc>
          <w:tcPr>
            <w:tcW w:type="dxa" w:w="4997"/>
            <w:vAlign w:val="center"/>
            <w:tcMar>
              <w:top w:w="80" w:type="dxa"/>
              <w:start w:w="90" w:type="dxa"/>
              <w:bottom w:w="80" w:type="dxa"/>
              <w:end w:w="90" w:type="dxa"/>
            </w:tcMar>
          </w:tcPr>
          <w:p>
            <w:pPr>
              <w:spacing w:after="0" w:line="240" w:lineRule="auto"/>
            </w:pPr>
            <w:r>
              <w:rPr>
                <w:rFonts w:ascii="Aptos" w:hAnsi="Aptos"/>
                <w:sz w:val="17"/>
              </w:rPr>
              <w:t>Sanders County Ledger (local coverage); Valley Press / Mineral Independent also covers county EM topics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Regional television</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Missoula market stations commonly carry Sanders County incidents (e.g., KPAX and other Missoula news outlets)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Official public contact point</w:t>
            </w:r>
          </w:p>
        </w:tc>
        <w:tc>
          <w:tcPr>
            <w:tcW w:type="dxa" w:w="4997"/>
            <w:vAlign w:val="center"/>
            <w:tcMar>
              <w:top w:w="80" w:type="dxa"/>
              <w:start w:w="90" w:type="dxa"/>
              <w:bottom w:w="80" w:type="dxa"/>
              <w:end w:w="90" w:type="dxa"/>
            </w:tcMar>
          </w:tcPr>
          <w:p>
            <w:pPr>
              <w:spacing w:after="0" w:line="240" w:lineRule="auto"/>
            </w:pPr>
            <w:r>
              <w:rPr>
                <w:rFonts w:ascii="Aptos" w:hAnsi="Aptos"/>
                <w:sz w:val="17"/>
              </w:rPr>
              <w:t>Emergency Management published contacts via county directory / department page (coordinator office line published on the EM page; directory also lists Emergency Management at 406-827-6955). Sheriff non-emergency 406-827-3584. For life-threatening emergencies: 911</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Public information authority</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Emergency Management Coordinator for EM/public alert messaging; Sheriff's Office for evacuations and law-enforcement notices; Board of County Commissioners for formal emergency/disaster declarations</w:t>
            </w:r>
          </w:p>
        </w:tc>
      </w:tr>
    </w:tbl>
    <w:p>
      <w:pPr>
        <w:spacing w:after="0"/>
      </w:pPr>
    </w:p>
    <w:p>
      <w:pPr>
        <w:pStyle w:val="Heading1"/>
      </w:pPr>
      <w:r>
        <w:t>8. Population considerations</w:t>
      </w:r>
    </w:p>
    <w:p>
      <w:r>
        <w:t>Described in aggregate only. Never list individuals.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Age profile</w:t>
            </w:r>
          </w:p>
        </w:tc>
        <w:tc>
          <w:tcPr>
            <w:tcW w:type="dxa" w:w="4997"/>
            <w:vAlign w:val="center"/>
            <w:tcMar>
              <w:top w:w="80" w:type="dxa"/>
              <w:start w:w="90" w:type="dxa"/>
              <w:bottom w:w="80" w:type="dxa"/>
              <w:end w:w="90" w:type="dxa"/>
            </w:tcMar>
          </w:tcPr>
          <w:p>
            <w:pPr>
              <w:spacing w:after="0" w:line="240" w:lineRule="auto"/>
            </w:pPr>
            <w:r>
              <w:rPr>
                <w:rFonts w:ascii="Aptos" w:hAnsi="Aptos"/>
                <w:sz w:val="17"/>
              </w:rPr>
              <w:t>markedly older than the U.S. average — about 33–34% of residents are 65 and over (Census QuickFacts / 2020 Census age shares); median age around mid-50s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Long-term care and assisted living facilities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Clark Fork Valley Hospital long-term care (Plains, 28 beds publicly stated by the hospital); Hot Springs Health &amp; Rehabilitation; assisted living / adult foster care publicly listed in Thompson Falls and Plains (e.g., Cherry Hills Assisted Living, Mount Silcox Adult Foster Care, Mountain View Manor). Exact licensed bed totals beyond CFVH LTC: confirm with Public Health / DPHHS listings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Residents dependent on electrically powered medical equipment</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UNKNOWN aggregate count. Office has publicly discussed interest in building a special-needs database — do not invent numbers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Households without reliable broadband or cell coverage</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Census QuickFacts (2020–2024) — about 87.8% of households have a broadband subscription and 92.9% have a computer, implying roughly one in eight households without broadband. Cell coverage is widely described as patchy outside town centers and in mountain drainages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Transportation-limited households</w:t>
            </w:r>
          </w:p>
        </w:tc>
        <w:tc>
          <w:tcPr>
            <w:tcW w:type="dxa" w:w="4997"/>
            <w:vAlign w:val="center"/>
            <w:tcMar>
              <w:top w:w="80" w:type="dxa"/>
              <w:start w:w="90" w:type="dxa"/>
              <w:bottom w:w="80" w:type="dxa"/>
              <w:end w:w="90" w:type="dxa"/>
            </w:tcMar>
          </w:tcPr>
          <w:p>
            <w:pPr>
              <w:spacing w:after="0" w:line="240" w:lineRule="auto"/>
            </w:pPr>
            <w:r>
              <w:rPr>
                <w:rFonts w:ascii="Aptos" w:hAnsi="Aptos"/>
                <w:sz w:val="17"/>
              </w:rPr>
              <w:t>rural distances, limited public transit (Sanders County Public Transportation; CSKT Transit on the Flathead Reservation). Exact no-vehicle household share: confirm from ACS tables before stating a percentage</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Agricultural population and livestock operations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meaningful farm and ranch sector (hay and livestock oriented); agriculture, forestry, fishing, and hunting remain a top employment sector</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Seasonal population swings</w:t>
            </w:r>
          </w:p>
        </w:tc>
        <w:tc>
          <w:tcPr>
            <w:tcW w:type="dxa" w:w="4997"/>
            <w:vAlign w:val="center"/>
            <w:tcMar>
              <w:top w:w="80" w:type="dxa"/>
              <w:start w:w="90" w:type="dxa"/>
              <w:bottom w:w="80" w:type="dxa"/>
              <w:end w:w="90" w:type="dxa"/>
            </w:tcMar>
          </w:tcPr>
          <w:p>
            <w:pPr>
              <w:spacing w:after="0" w:line="240" w:lineRule="auto"/>
            </w:pPr>
            <w:r>
              <w:rPr>
                <w:rFonts w:ascii="Aptos" w:hAnsi="Aptos"/>
                <w:sz w:val="17"/>
              </w:rPr>
              <w:t>summer recreation and reservoir tourism; hunting seasons; Sanders County Fair in Plains; huckleberry season / Trout Creek area events; temporary wildfire / incident personnel during large fires</w:t>
            </w:r>
          </w:p>
        </w:tc>
      </w:tr>
    </w:tbl>
    <w:p>
      <w:pPr>
        <w:spacing w:after="0"/>
      </w:pPr>
    </w:p>
    <w:p>
      <w:pPr>
        <w:pStyle w:val="Heading1"/>
      </w:pPr>
      <w:r>
        <w:t>9. Agriculture and economy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Primary crops and livestock</w:t>
            </w:r>
          </w:p>
        </w:tc>
        <w:tc>
          <w:tcPr>
            <w:tcW w:type="dxa" w:w="4997"/>
            <w:vAlign w:val="center"/>
            <w:tcMar>
              <w:top w:w="80" w:type="dxa"/>
              <w:start w:w="90" w:type="dxa"/>
              <w:bottom w:w="80" w:type="dxa"/>
              <w:end w:w="90" w:type="dxa"/>
            </w:tcMar>
          </w:tcPr>
          <w:p>
            <w:pPr>
              <w:spacing w:after="0" w:line="240" w:lineRule="auto"/>
            </w:pPr>
            <w:r>
              <w:rPr>
                <w:rFonts w:ascii="Aptos" w:hAnsi="Aptos"/>
                <w:sz w:val="17"/>
              </w:rPr>
              <w:t>hay and forage; cattle and other livestock; limited specialty crops. Forestry and related wood products are economically important alongside agriculture</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Grain storage, feedlots, dairies of note</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no large industrial feedlot complex identified in Green sources reviewed; operations are generally dispersed ranch/farm scale</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Major employers (general)</w:t>
            </w:r>
          </w:p>
        </w:tc>
        <w:tc>
          <w:tcPr>
            <w:tcW w:type="dxa" w:w="4997"/>
            <w:vAlign w:val="center"/>
            <w:tcMar>
              <w:top w:w="80" w:type="dxa"/>
              <w:start w:w="90" w:type="dxa"/>
              <w:bottom w:w="80" w:type="dxa"/>
              <w:end w:w="90" w:type="dxa"/>
            </w:tcMar>
          </w:tcPr>
          <w:p>
            <w:pPr>
              <w:spacing w:after="0" w:line="240" w:lineRule="auto"/>
            </w:pPr>
            <w:r>
              <w:rPr>
                <w:rFonts w:ascii="Aptos" w:hAnsi="Aptos"/>
                <w:sz w:val="17"/>
              </w:rPr>
              <w:t>Clark Fork Valley Hospital and clinics; K–12 school districts; county government; hydroelectric operators (Avista; NorthWestern Energy at Thompson Falls Dam); retail and accommodation/food services along Highway 200; construction; agriculture and forestry employers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Facilities with hazardous materials reporting obligations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LEPC coordinates Tier II reporting (public minutes reference facilities such as Cabinet-area sites and utility partners). List specifics only from current Tier II / E-Plan extracts held by the LEPC — not invented here</w:t>
            </w:r>
          </w:p>
        </w:tc>
      </w:tr>
    </w:tbl>
    <w:p>
      <w:pPr>
        <w:spacing w:after="0"/>
      </w:pPr>
    </w:p>
    <w:p>
      <w:pPr>
        <w:pStyle w:val="Heading1"/>
      </w:pPr>
      <w:r>
        <w:t>10. Mutual aid and partners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Item</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Detail</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Mutual aid agreements in place</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fire mutual aid among county departments and with neighboring jurisdictions (exact agreement inventory UNKNOWN in this draft); EMS mutual aid extending Plains Community Ambulance coverage; law-enforcement cooperation with municipal PD and MHP</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Regional or district emergency management structure</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participant in the Montana Western Region Hazard Mitigation Plan coordinated by Montana Disaster and Emergency Services (MT DES). State coordination path is through MT DES / State Emergency Coordination Center when activated</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State emergency management contact path</w:t>
            </w:r>
          </w:p>
        </w:tc>
        <w:tc>
          <w:tcPr>
            <w:tcW w:type="dxa" w:w="4997"/>
            <w:vAlign w:val="center"/>
            <w:tcMar>
              <w:top w:w="80" w:type="dxa"/>
              <w:start w:w="90" w:type="dxa"/>
              <w:bottom w:w="80" w:type="dxa"/>
              <w:end w:w="90" w:type="dxa"/>
            </w:tcMar>
          </w:tcPr>
          <w:p>
            <w:pPr>
              <w:spacing w:after="0" w:line="240" w:lineRule="auto"/>
            </w:pPr>
            <w:r>
              <w:rPr>
                <w:rFonts w:ascii="Aptos" w:hAnsi="Aptos"/>
                <w:sz w:val="17"/>
              </w:rPr>
              <w:t>Montana DES (state duty officer / SECC process) — use current DES published duty procedures; do not embed personal cell numbers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Tribal, federal, or military installations nearby</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Confederated Salish and Kootenai Tribes (Flathead Reservation includes eastern Sanders County communities); USDA Forest Service (Lolo, Kootenai / Kaniksu areas); Montana DNRC; Bison Range (part); no major military installation inside the county identified for this draft</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Voluntary organizations active in disasters</w:t>
            </w:r>
          </w:p>
        </w:tc>
        <w:tc>
          <w:tcPr>
            <w:tcW w:type="dxa" w:w="4997"/>
            <w:vAlign w:val="center"/>
            <w:tcMar>
              <w:top w:w="80" w:type="dxa"/>
              <w:start w:w="90" w:type="dxa"/>
              <w:bottom w:w="80" w:type="dxa"/>
              <w:end w:w="90" w:type="dxa"/>
            </w:tcMar>
          </w:tcPr>
          <w:p>
            <w:pPr>
              <w:spacing w:after="0" w:line="240" w:lineRule="auto"/>
            </w:pPr>
            <w:r>
              <w:rPr>
                <w:rFonts w:ascii="Aptos" w:hAnsi="Aptos"/>
                <w:sz w:val="17"/>
              </w:rPr>
              <w:t>American Red Cross (sheltering in recent fires); church and food-bank networks (e.g., Church on the Move / Plains Community Food Bank); Sanders County Council on Aging and senior-center network; LEPC partners including hospital emergency planning staff</w:t>
            </w:r>
          </w:p>
        </w:tc>
      </w:tr>
    </w:tbl>
    <w:p>
      <w:pPr>
        <w:spacing w:after="0"/>
      </w:pPr>
    </w:p>
    <w:p>
      <w:pPr>
        <w:pStyle w:val="Heading1"/>
      </w:pPr>
      <w:r>
        <w:t>11. Standing constraints the AI must respect</w:t>
      </w:r>
    </w:p>
    <w:p>
      <w:r>
        <w:t>Write the honest version. This section prevents unusable recommendations more than any other.</w:t>
      </w:r>
    </w:p>
    <w:p>
      <w:pPr>
        <w:pStyle w:val="ListBullet"/>
      </w:pPr>
      <w:r>
        <w:t>Very large geography (~2,760 sq mi land) with a small population and low density; travel times between Heron and Dixon are long even in good weather</w:t>
      </w:r>
    </w:p>
    <w:p>
      <w:pPr>
        <w:pStyle w:val="ListBullet"/>
      </w:pPr>
      <w:r>
        <w:t>Fire response is predominantly volunteer and will thin on weekday mornings and during drawdown to large wildfires</w:t>
      </w:r>
    </w:p>
    <w:p>
      <w:pPr>
        <w:pStyle w:val="ListBullet"/>
      </w:pPr>
      <w:r>
        <w:t>Highway 200 is the spine of the county; a closure can isolate western communities and disrupt EMS, fuel, and supply</w:t>
      </w:r>
    </w:p>
    <w:p>
      <w:pPr>
        <w:pStyle w:val="ListBullet"/>
      </w:pPr>
      <w:r>
        <w:t>Cell and broadband gaps limit mass-notification reach; Hyper-Reach enrollment has been publicly described as far below county population</w:t>
      </w:r>
    </w:p>
    <w:p>
      <w:pPr>
        <w:pStyle w:val="ListBullet"/>
      </w:pPr>
      <w:r>
        <w:t>No dedicated full-time PIO identified in public materials; EM coordinator and Sheriff's Office carry most public messaging</w:t>
      </w:r>
    </w:p>
    <w:p>
      <w:pPr>
        <w:pStyle w:val="ListBullet"/>
      </w:pPr>
      <w:r>
        <w:t>EOC activation is rare to nonexistent historically; do not assume a standing EOC battle rhythm</w:t>
      </w:r>
    </w:p>
    <w:p>
      <w:pPr>
        <w:pStyle w:val="ListBullet"/>
      </w:pPr>
      <w:r>
        <w:t>Critical access hospital only (16 beds); higher-acuity care requires out-of-county transport</w:t>
      </w:r>
    </w:p>
    <w:p>
      <w:pPr>
        <w:pStyle w:val="ListBullet"/>
      </w:pPr>
      <w:r>
        <w:t>Rail and hydroelectric infrastructure create specialized hazmat / dam-awareness needs beyond typical rural counties</w:t>
      </w:r>
    </w:p>
    <w:p>
      <w:pPr>
        <w:pStyle w:val="ListBullet"/>
      </w:pPr>
      <w:r>
        <w:t>Eastern county includes Flathead Reservation communities — coordination with CSKT is required for incidents affecting tribal lands or residents</w:t>
      </w:r>
    </w:p>
    <w:p>
      <w:pPr>
        <w:pStyle w:val="ListBullet"/>
      </w:pPr>
      <w:r>
        <w:t>Winter storms, wildfire smoke, and wind-driven outages can coincide with fragile volunteer staffing</w:t>
      </w:r>
    </w:p>
    <w:p>
      <w:pPr>
        <w:pStyle w:val="ListBullet"/>
      </w:pPr>
      <w:r>
        <w:t>Activation levels, full shelter MOU list, road-department plow counts, and special-needs registry totals are not fully documented in this Green draft — mark UNKNOWN rather than guess</w:t>
      </w:r>
    </w:p>
    <w:p>
      <w:pPr>
        <w:pStyle w:val="Heading1"/>
      </w:pPr>
      <w:r>
        <w:t>12. Language for the model</w:t>
      </w:r>
    </w:p>
    <w:tbl>
      <w:tblPr>
        <w:tblW w:type="auto" w:w="0"/>
        <w:jc w:val="center"/>
        <w:tblLook w:firstColumn="1" w:firstRow="1" w:lastColumn="0" w:lastRow="0" w:noHBand="0" w:noVBand="1" w:val="04A0"/>
      </w:tblPr>
      <w:tblGrid>
        <w:gridCol w:w="9994"/>
      </w:tblGrid>
      <w:tr>
        <w:tc>
          <w:tcPr>
            <w:tcW w:type="dxa" w:w="9994"/>
            <w:shd w:fill="FFF2CC"/>
            <w:tcMar>
              <w:top w:w="130" w:type="dxa"/>
              <w:start w:w="150" w:type="dxa"/>
              <w:bottom w:w="130" w:type="dxa"/>
              <w:end w:w="150" w:type="dxa"/>
            </w:tcMar>
          </w:tcPr>
          <w:p>
            <w:pPr>
              <w:spacing w:after="0"/>
            </w:pPr>
            <w:r>
              <w:rPr>
                <w:b/>
              </w:rPr>
              <w:t>Standing instruction to the model</w:t>
            </w:r>
            <w:r>
              <w:t xml:space="preserve">  Do not invent road closures, shelter openings, gauge readings, outage counts, casualty figures, damage estimates, or activation decisions. If a fact is not in this pack or in the inputs I provide, write UNKNOWN and list it under Information Needed. Assume rural constraints: volunteer response, long travel distances, and limited staffing. Treat Highway 200 corridor continuity, wildfire evacuation, and Clark Fork / Flathead river conditions as first-order local concerns when relevant. Prefer roles (Emergency Management Coordinator, Sheriff, Board of County Commissioners, Fire Chief) over personal names.</w:t>
            </w:r>
          </w:p>
        </w:tc>
      </w:tr>
    </w:tbl>
    <w:p>
      <w:pPr>
        <w:spacing w:after="0"/>
      </w:pPr>
    </w:p>
    <w:p>
      <w:r>
        <w:br w:type="page"/>
      </w:r>
    </w:p>
    <w:p>
      <w:pPr>
        <w:pStyle w:val="Heading1"/>
      </w:pPr>
      <w:r>
        <w:t>Open items requiring local verification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Topic</w:t>
            </w:r>
          </w:p>
        </w:tc>
        <w:tc>
          <w:tcPr>
            <w:tcW w:type="dxa" w:w="4997"/>
            <w:vAlign w:val="center"/>
            <w:tcMar>
              <w:top w:w="80" w:type="dxa"/>
              <w:start w:w="90" w:type="dxa"/>
              <w:bottom w:w="80" w:type="dxa"/>
              <w:end w:w="90" w:type="dxa"/>
            </w:tcMar>
            <w:shd w:fill="17365D"/>
          </w:tcPr>
          <w:p>
            <w:pPr>
              <w:spacing w:after="0" w:line="240" w:lineRule="auto"/>
            </w:pPr>
            <w:r>
              <w:rPr>
                <w:rFonts w:ascii="Aptos" w:hAnsi="Aptos"/>
                <w:b/>
                <w:color w:val="FFFFFF"/>
                <w:sz w:val="17"/>
              </w:rPr>
              <w:t>Verification needed</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Emergency Management staffing</w:t>
            </w:r>
          </w:p>
        </w:tc>
        <w:tc>
          <w:tcPr>
            <w:tcW w:type="dxa" w:w="4997"/>
            <w:vAlign w:val="center"/>
            <w:tcMar>
              <w:top w:w="80" w:type="dxa"/>
              <w:start w:w="90" w:type="dxa"/>
              <w:bottom w:w="80" w:type="dxa"/>
              <w:end w:w="90" w:type="dxa"/>
            </w:tcMar>
          </w:tcPr>
          <w:p>
            <w:pPr>
              <w:spacing w:after="0" w:line="240" w:lineRule="auto"/>
            </w:pPr>
            <w:r>
              <w:rPr>
                <w:rFonts w:ascii="Aptos" w:hAnsi="Aptos"/>
                <w:sz w:val="17"/>
              </w:rPr>
              <w:t>Confirm deputy, part-time, and administrative support.</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River monitoring</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Confirm office-preferred gauges beyond PLNM8 and PERM8.</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EOC</w:t>
            </w:r>
          </w:p>
        </w:tc>
        <w:tc>
          <w:tcPr>
            <w:tcW w:type="dxa" w:w="4997"/>
            <w:vAlign w:val="center"/>
            <w:tcMar>
              <w:top w:w="80" w:type="dxa"/>
              <w:start w:w="90" w:type="dxa"/>
              <w:bottom w:w="80" w:type="dxa"/>
              <w:end w:w="90" w:type="dxa"/>
            </w:tcMar>
          </w:tcPr>
          <w:p>
            <w:pPr>
              <w:spacing w:after="0" w:line="240" w:lineRule="auto"/>
            </w:pPr>
            <w:r>
              <w:rPr>
                <w:rFonts w:ascii="Aptos" w:hAnsi="Aptos"/>
                <w:sz w:val="17"/>
              </w:rPr>
              <w:t>Confirm primary and alternate locations, layout, and activation procedure.</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Activation levels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Insert the county's actual level names and triggers.</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Volunteer programs</w:t>
            </w:r>
          </w:p>
        </w:tc>
        <w:tc>
          <w:tcPr>
            <w:tcW w:type="dxa" w:w="4997"/>
            <w:vAlign w:val="center"/>
            <w:tcMar>
              <w:top w:w="80" w:type="dxa"/>
              <w:start w:w="90" w:type="dxa"/>
              <w:bottom w:w="80" w:type="dxa"/>
              <w:end w:w="90" w:type="dxa"/>
            </w:tcMar>
          </w:tcPr>
          <w:p>
            <w:pPr>
              <w:spacing w:after="0" w:line="240" w:lineRule="auto"/>
            </w:pPr>
            <w:r>
              <w:rPr>
                <w:rFonts w:ascii="Aptos" w:hAnsi="Aptos"/>
                <w:sz w:val="17"/>
              </w:rPr>
              <w:t>Confirm current CERT, ARES, auxiliary, and SAR arrangements.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Public works</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Confirm staffing and equipment classes suitable for public release.</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Emergency facilities</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Verify current MOUs, ADA access, generators, and capacity ranges.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Public warning</w:t>
            </w:r>
          </w:p>
        </w:tc>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Confirm Hyper-Reach signup instructions, message limits, and siren coverage.</w:t>
            </w:r>
          </w:p>
        </w:tc>
      </w:tr>
      <w:tr>
        <w:tc>
          <w:tcPr>
            <w:tcW w:type="dxa" w:w="4997"/>
            <w:vAlign w:val="center"/>
            <w:tcMar>
              <w:top w:w="80" w:type="dxa"/>
              <w:start w:w="90" w:type="dxa"/>
              <w:bottom w:w="80" w:type="dxa"/>
              <w:end w:w="90" w:type="dxa"/>
            </w:tcMar>
          </w:tcPr>
          <w:p>
            <w:pPr>
              <w:spacing w:after="0" w:line="240" w:lineRule="auto"/>
            </w:pPr>
            <w:r>
              <w:rPr>
                <w:rFonts w:ascii="Aptos" w:hAnsi="Aptos"/>
                <w:sz w:val="17"/>
              </w:rPr>
              <w:t>At-risk populations</w:t>
            </w:r>
          </w:p>
        </w:tc>
        <w:tc>
          <w:tcPr>
            <w:tcW w:type="dxa" w:w="4997"/>
            <w:vAlign w:val="center"/>
            <w:tcMar>
              <w:top w:w="80" w:type="dxa"/>
              <w:start w:w="90" w:type="dxa"/>
              <w:bottom w:w="80" w:type="dxa"/>
              <w:end w:w="90" w:type="dxa"/>
            </w:tcMar>
          </w:tcPr>
          <w:p>
            <w:pPr>
              <w:spacing w:after="0" w:line="240" w:lineRule="auto"/>
            </w:pPr>
            <w:r>
              <w:rPr>
                <w:rFonts w:ascii="Aptos" w:hAnsi="Aptos"/>
                <w:sz w:val="17"/>
              </w:rPr>
              <w:t>Confirm whether aggregate medical-equipment dependency data exists.</w:t>
            </w:r>
          </w:p>
        </w:tc>
      </w:tr>
      <w:tr>
        <w:tc>
          <w:tcPr>
            <w:tcW w:type="dxa" w:w="4997"/>
            <w:vAlign w:val="center"/>
            <w:tcMar>
              <w:top w:w="80" w:type="dxa"/>
              <w:start w:w="90" w:type="dxa"/>
              <w:bottom w:w="80" w:type="dxa"/>
              <w:end w:w="90" w:type="dxa"/>
            </w:tcMar>
            <w:shd w:fill="F5F7FA"/>
          </w:tcPr>
          <w:p>
            <w:pPr>
              <w:spacing w:after="0" w:line="240" w:lineRule="auto"/>
            </w:pPr>
            <w:r>
              <w:rPr>
                <w:rFonts w:ascii="Aptos" w:hAnsi="Aptos"/>
                <w:sz w:val="17"/>
              </w:rPr>
              <w:t>Mutual aid</w:t>
            </w:r>
          </w:p>
        </w:tc>
        <w:tc>
          <w:tcPr>
            <w:tcW w:type="dxa" w:w="4997"/>
            <w:vAlign w:val="center"/>
            <w:tcMar>
              <w:top w:w="80" w:type="dxa"/>
              <w:start w:w="90" w:type="dxa"/>
              <w:bottom w:w="80" w:type="dxa"/>
              <w:end w:w="90" w:type="dxa"/>
            </w:tcMar>
            <w:shd w:fill="FFF2CC"/>
          </w:tcPr>
          <w:p>
            <w:pPr>
              <w:spacing w:after="0" w:line="240" w:lineRule="auto"/>
            </w:pPr>
            <w:r>
              <w:rPr>
                <w:rFonts w:ascii="Aptos" w:hAnsi="Aptos"/>
                <w:sz w:val="17"/>
              </w:rPr>
              <w:t>Verify the current agreement inventory and state coordination path.</w:t>
            </w:r>
          </w:p>
        </w:tc>
      </w:tr>
    </w:tbl>
    <w:p>
      <w:pPr>
        <w:spacing w:after="0"/>
      </w:pPr>
    </w:p>
    <w:p>
      <w:pPr>
        <w:pStyle w:val="Heading1"/>
      </w:pPr>
      <w:r>
        <w:t>Maintenance log</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Date</w:t>
            </w:r>
          </w:p>
        </w:tc>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Section changed</w:t>
            </w:r>
          </w:p>
        </w:tc>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Changed by</w:t>
            </w:r>
          </w:p>
        </w:tc>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Reason</w:t>
            </w:r>
          </w:p>
        </w:tc>
      </w:tr>
      <w:tr>
        <w:tc>
          <w:tcPr>
            <w:tcW w:type="dxa" w:w="2498"/>
            <w:vAlign w:val="center"/>
            <w:tcMar>
              <w:top w:w="80" w:type="dxa"/>
              <w:start w:w="90" w:type="dxa"/>
              <w:bottom w:w="80" w:type="dxa"/>
              <w:end w:w="90" w:type="dxa"/>
            </w:tcMar>
          </w:tcPr>
          <w:p>
            <w:pPr>
              <w:spacing w:after="0" w:line="240" w:lineRule="auto"/>
            </w:pPr>
            <w:r>
              <w:rPr>
                <w:rFonts w:ascii="Aptos" w:hAnsi="Aptos"/>
                <w:sz w:val="16"/>
              </w:rPr>
              <w:t>2026-08-08</w:t>
            </w:r>
          </w:p>
        </w:tc>
        <w:tc>
          <w:tcPr>
            <w:tcW w:type="dxa" w:w="2498"/>
            <w:vAlign w:val="center"/>
            <w:tcMar>
              <w:top w:w="80" w:type="dxa"/>
              <w:start w:w="90" w:type="dxa"/>
              <w:bottom w:w="80" w:type="dxa"/>
              <w:end w:w="90" w:type="dxa"/>
            </w:tcMar>
          </w:tcPr>
          <w:p>
            <w:pPr>
              <w:spacing w:after="0" w:line="240" w:lineRule="auto"/>
            </w:pPr>
            <w:r>
              <w:rPr>
                <w:rFonts w:ascii="Aptos" w:hAnsi="Aptos"/>
                <w:sz w:val="16"/>
              </w:rPr>
              <w:t>All sections (initial research draft)</w:t>
            </w:r>
          </w:p>
        </w:tc>
        <w:tc>
          <w:tcPr>
            <w:tcW w:type="dxa" w:w="2498"/>
            <w:vAlign w:val="center"/>
            <w:tcMar>
              <w:top w:w="80" w:type="dxa"/>
              <w:start w:w="90" w:type="dxa"/>
              <w:bottom w:w="80" w:type="dxa"/>
              <w:end w:w="90" w:type="dxa"/>
            </w:tcMar>
          </w:tcPr>
          <w:p>
            <w:pPr>
              <w:spacing w:after="0" w:line="240" w:lineRule="auto"/>
            </w:pPr>
            <w:r>
              <w:rPr>
                <w:rFonts w:ascii="Aptos" w:hAnsi="Aptos"/>
                <w:sz w:val="16"/>
              </w:rPr>
              <w:t>Cloud agent research pass</w:t>
            </w:r>
          </w:p>
        </w:tc>
        <w:tc>
          <w:tcPr>
            <w:tcW w:type="dxa" w:w="2498"/>
            <w:vAlign w:val="center"/>
            <w:tcMar>
              <w:top w:w="80" w:type="dxa"/>
              <w:start w:w="90" w:type="dxa"/>
              <w:bottom w:w="80" w:type="dxa"/>
              <w:end w:w="90" w:type="dxa"/>
            </w:tcMar>
          </w:tcPr>
          <w:p>
            <w:pPr>
              <w:spacing w:after="0" w:line="240" w:lineRule="auto"/>
            </w:pPr>
            <w:r>
              <w:rPr>
                <w:rFonts w:ascii="Aptos" w:hAnsi="Aptos"/>
                <w:sz w:val="16"/>
              </w:rPr>
              <w:t>First filled copy for Sanders County from public Green sources; pending EM verification</w:t>
            </w:r>
          </w:p>
        </w:tc>
      </w:tr>
    </w:tbl>
    <w:p>
      <w:pPr>
        <w:spacing w:after="0"/>
      </w:pPr>
    </w:p>
    <w:p>
      <w:r>
        <w:br w:type="page"/>
      </w:r>
    </w:p>
    <w:p>
      <w:pPr>
        <w:pStyle w:val="Heading1"/>
      </w:pPr>
      <w:r>
        <w:t>Appendix A — Data-handling rules</w:t>
      </w:r>
    </w:p>
    <w:p>
      <w:pPr>
        <w:pStyle w:val="ListBullet"/>
      </w:pPr>
      <w:r>
        <w:rPr>
          <w:b/>
        </w:rPr>
        <w:t>Green data only.</w:t>
      </w:r>
      <w:r>
        <w:t xml:space="preserve"> Nothing in this file may identify an individual or reveal a security detail.</w:t>
      </w:r>
    </w:p>
    <w:p>
      <w:pPr>
        <w:pStyle w:val="ListBullet"/>
      </w:pPr>
      <w:r>
        <w:rPr>
          <w:b/>
        </w:rPr>
        <w:t>Public facilities by name and type are fine.</w:t>
      </w:r>
      <w:r>
        <w:t xml:space="preserve"> Access codes, camera placements, key-holder names, cache contents, and security procedures are not.</w:t>
      </w:r>
    </w:p>
    <w:p>
      <w:pPr>
        <w:pStyle w:val="ListBullet"/>
      </w:pPr>
      <w:r>
        <w:rPr>
          <w:b/>
        </w:rPr>
        <w:t>Use roles, not people.</w:t>
      </w:r>
      <w:r>
        <w:t xml:space="preserve"> Write "Road Superintendent," not a person's name or cell number.</w:t>
      </w:r>
    </w:p>
    <w:p>
      <w:pPr>
        <w:pStyle w:val="ListBullet"/>
      </w:pPr>
      <w:r>
        <w:rPr>
          <w:b/>
        </w:rPr>
        <w:t>Publicly listed numbers only.</w:t>
      </w:r>
      <w:r>
        <w:t xml:space="preserve"> No personal cell numbers, even for staff.</w:t>
      </w:r>
    </w:p>
    <w:p>
      <w:pPr>
        <w:pStyle w:val="ListBullet"/>
      </w:pPr>
      <w:r>
        <w:rPr>
          <w:b/>
        </w:rPr>
        <w:t>If a line would be uncomfortable in a public-records release, delete it.</w:t>
      </w:r>
    </w:p>
    <w:p>
      <w:pPr>
        <w:pStyle w:val="ListBullet"/>
      </w:pPr>
      <w:r>
        <w:rPr>
          <w:b/>
        </w:rPr>
        <w:t>UNKNOWN is preferred to invention.</w:t>
      </w:r>
      <w:r>
        <w:t xml:space="preserve"> Gaps below must be filled from county plans or staff knowledge before this pack is treated as complete.</w:t>
      </w:r>
    </w:p>
    <w:p>
      <w:r>
        <w:br w:type="page"/>
      </w:r>
    </w:p>
    <w:p>
      <w:pPr>
        <w:pStyle w:val="Heading1"/>
      </w:pPr>
      <w:r>
        <w:t>Appendix B — Sources</w:t>
      </w:r>
    </w:p>
    <w:p>
      <w:r>
        <w:t>All content was drawn from publicly available Green sources. No non-public plans, CAD data, or personally identifying details were used.</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w:t>
            </w:r>
          </w:p>
        </w:tc>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Category</w:t>
            </w:r>
          </w:p>
        </w:tc>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Source</w:t>
            </w:r>
          </w:p>
        </w:tc>
        <w:tc>
          <w:tcPr>
            <w:tcW w:type="dxa" w:w="2498"/>
            <w:vAlign w:val="center"/>
            <w:tcMar>
              <w:top w:w="80" w:type="dxa"/>
              <w:start w:w="90" w:type="dxa"/>
              <w:bottom w:w="80" w:type="dxa"/>
              <w:end w:w="90" w:type="dxa"/>
            </w:tcMar>
            <w:shd w:fill="17365D"/>
          </w:tcPr>
          <w:p>
            <w:pPr>
              <w:spacing w:after="0" w:line="240" w:lineRule="auto"/>
            </w:pPr>
            <w:r>
              <w:rPr>
                <w:rFonts w:ascii="Aptos" w:hAnsi="Aptos"/>
                <w:b/>
                <w:color w:val="FFFFFF"/>
                <w:sz w:val="16"/>
              </w:rPr>
              <w:t>URL</w:t>
            </w:r>
          </w:p>
        </w:tc>
      </w:tr>
      <w:tr>
        <w:tc>
          <w:tcPr>
            <w:tcW w:type="dxa" w:w="2498"/>
            <w:vAlign w:val="center"/>
            <w:tcMar>
              <w:top w:w="80" w:type="dxa"/>
              <w:start w:w="90" w:type="dxa"/>
              <w:bottom w:w="80" w:type="dxa"/>
              <w:end w:w="90" w:type="dxa"/>
            </w:tcMar>
          </w:tcPr>
          <w:p>
            <w:pPr>
              <w:spacing w:after="0" w:line="240" w:lineRule="auto"/>
            </w:pPr>
            <w:r>
              <w:rPr>
                <w:rFonts w:ascii="Aptos" w:hAnsi="Aptos"/>
                <w:sz w:val="16"/>
              </w:rPr>
              <w:t>1</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official website</w:t>
            </w:r>
          </w:p>
        </w:tc>
        <w:tc>
          <w:tcPr>
            <w:tcW w:type="dxa" w:w="2498"/>
            <w:vAlign w:val="center"/>
            <w:tcMar>
              <w:top w:w="80" w:type="dxa"/>
              <w:start w:w="90" w:type="dxa"/>
              <w:bottom w:w="80" w:type="dxa"/>
              <w:end w:w="90" w:type="dxa"/>
            </w:tcMar>
          </w:tcPr>
          <w:p>
            <w:pPr>
              <w:spacing w:after="0" w:line="240" w:lineRule="auto"/>
            </w:pPr>
            <w:hyperlink r:id="rId11">
              <w:r>
                <w:rPr>
                  <w:color w:val="2F5597"/>
                  <w:u w:val="single"/>
                </w:rPr>
                <w:t>https://www.co.sanders.mt.us/</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2</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Emergency Management</w:t>
            </w:r>
          </w:p>
        </w:tc>
        <w:tc>
          <w:tcPr>
            <w:tcW w:type="dxa" w:w="2498"/>
            <w:vAlign w:val="center"/>
            <w:tcMar>
              <w:top w:w="80" w:type="dxa"/>
              <w:start w:w="90" w:type="dxa"/>
              <w:bottom w:w="80" w:type="dxa"/>
              <w:end w:w="90" w:type="dxa"/>
            </w:tcMar>
            <w:shd w:fill="F5F7FA"/>
          </w:tcPr>
          <w:p>
            <w:pPr>
              <w:spacing w:after="0" w:line="240" w:lineRule="auto"/>
            </w:pPr>
            <w:hyperlink r:id="rId12">
              <w:r>
                <w:rPr>
                  <w:color w:val="2F5597"/>
                  <w:u w:val="single"/>
                </w:rPr>
                <w:t>https://www.co.sanders.mt.us/202/Emergency-Management</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3</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Plans (EOP / RHMP / CWPP)</w:t>
            </w:r>
          </w:p>
        </w:tc>
        <w:tc>
          <w:tcPr>
            <w:tcW w:type="dxa" w:w="2498"/>
            <w:vAlign w:val="center"/>
            <w:tcMar>
              <w:top w:w="80" w:type="dxa"/>
              <w:start w:w="90" w:type="dxa"/>
              <w:bottom w:w="80" w:type="dxa"/>
              <w:end w:w="90" w:type="dxa"/>
            </w:tcMar>
          </w:tcPr>
          <w:p>
            <w:pPr>
              <w:spacing w:after="0" w:line="240" w:lineRule="auto"/>
            </w:pPr>
            <w:hyperlink r:id="rId13">
              <w:r>
                <w:rPr>
                  <w:color w:val="2F5597"/>
                  <w:u w:val="single"/>
                </w:rPr>
                <w:t>https://www.co.sanders.mt.us/253/Plans</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4</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Staff Directory</w:t>
            </w:r>
          </w:p>
        </w:tc>
        <w:tc>
          <w:tcPr>
            <w:tcW w:type="dxa" w:w="2498"/>
            <w:vAlign w:val="center"/>
            <w:tcMar>
              <w:top w:w="80" w:type="dxa"/>
              <w:start w:w="90" w:type="dxa"/>
              <w:bottom w:w="80" w:type="dxa"/>
              <w:end w:w="90" w:type="dxa"/>
            </w:tcMar>
            <w:shd w:fill="F5F7FA"/>
          </w:tcPr>
          <w:p>
            <w:pPr>
              <w:spacing w:after="0" w:line="240" w:lineRule="auto"/>
            </w:pPr>
            <w:hyperlink r:id="rId14">
              <w:r>
                <w:rPr>
                  <w:color w:val="2F5597"/>
                  <w:u w:val="single"/>
                </w:rPr>
                <w:t>https://www.co.sanders.mt.us/Directory.aspx</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5</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Sheriff's Office</w:t>
            </w:r>
          </w:p>
        </w:tc>
        <w:tc>
          <w:tcPr>
            <w:tcW w:type="dxa" w:w="2498"/>
            <w:vAlign w:val="center"/>
            <w:tcMar>
              <w:top w:w="80" w:type="dxa"/>
              <w:start w:w="90" w:type="dxa"/>
              <w:bottom w:w="80" w:type="dxa"/>
              <w:end w:w="90" w:type="dxa"/>
            </w:tcMar>
          </w:tcPr>
          <w:p>
            <w:pPr>
              <w:spacing w:after="0" w:line="240" w:lineRule="auto"/>
            </w:pPr>
            <w:hyperlink r:id="rId15">
              <w:r>
                <w:rPr>
                  <w:color w:val="2F5597"/>
                  <w:u w:val="single"/>
                </w:rPr>
                <w:t>https://www.co.sanders.mt.us/212/Sheriffs-Office</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6</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Airports</w:t>
            </w:r>
          </w:p>
        </w:tc>
        <w:tc>
          <w:tcPr>
            <w:tcW w:type="dxa" w:w="2498"/>
            <w:vAlign w:val="center"/>
            <w:tcMar>
              <w:top w:w="80" w:type="dxa"/>
              <w:start w:w="90" w:type="dxa"/>
              <w:bottom w:w="80" w:type="dxa"/>
              <w:end w:w="90" w:type="dxa"/>
            </w:tcMar>
            <w:shd w:fill="F5F7FA"/>
          </w:tcPr>
          <w:p>
            <w:pPr>
              <w:spacing w:after="0" w:line="240" w:lineRule="auto"/>
            </w:pPr>
            <w:hyperlink r:id="rId16">
              <w:r>
                <w:rPr>
                  <w:color w:val="2F5597"/>
                  <w:u w:val="single"/>
                </w:rPr>
                <w:t>https://www.co.sanders.mt.us/194/Airports</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7</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Fair / Fairgrounds</w:t>
            </w:r>
          </w:p>
        </w:tc>
        <w:tc>
          <w:tcPr>
            <w:tcW w:type="dxa" w:w="2498"/>
            <w:vAlign w:val="center"/>
            <w:tcMar>
              <w:top w:w="80" w:type="dxa"/>
              <w:start w:w="90" w:type="dxa"/>
              <w:bottom w:w="80" w:type="dxa"/>
              <w:end w:w="90" w:type="dxa"/>
            </w:tcMar>
          </w:tcPr>
          <w:p>
            <w:pPr>
              <w:spacing w:after="0" w:line="240" w:lineRule="auto"/>
            </w:pPr>
            <w:hyperlink r:id="rId17">
              <w:r>
                <w:rPr>
                  <w:color w:val="2F5597"/>
                  <w:u w:val="single"/>
                </w:rPr>
                <w:t>https://www.co.sanders.mt.us/200/County-Fair</w:t>
              </w:r>
            </w:hyperlink>
            <w:r>
              <w:rPr>
                <w:rFonts w:ascii="Aptos" w:hAnsi="Aptos"/>
                <w:sz w:val="16"/>
              </w:rPr>
              <w:br/>
            </w:r>
            <w:hyperlink r:id="rId18">
              <w:r>
                <w:rPr>
                  <w:color w:val="2F5597"/>
                  <w:u w:val="single"/>
                </w:rPr>
                <w:t>https://www.sanderscountyfair.com/facility-rentals</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8</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Board of Commissioners minutes — Emergency Declaration Resolution 2025-28 (Dec 8, 2025)</w:t>
            </w:r>
          </w:p>
        </w:tc>
        <w:tc>
          <w:tcPr>
            <w:tcW w:type="dxa" w:w="2498"/>
            <w:vAlign w:val="center"/>
            <w:tcMar>
              <w:top w:w="80" w:type="dxa"/>
              <w:start w:w="90" w:type="dxa"/>
              <w:bottom w:w="80" w:type="dxa"/>
              <w:end w:w="90" w:type="dxa"/>
            </w:tcMar>
            <w:shd w:fill="F5F7FA"/>
          </w:tcPr>
          <w:p>
            <w:pPr>
              <w:spacing w:after="0" w:line="240" w:lineRule="auto"/>
            </w:pPr>
            <w:hyperlink r:id="rId19">
              <w:r>
                <w:rPr>
                  <w:color w:val="2F5597"/>
                  <w:u w:val="single"/>
                </w:rPr>
                <w:t>https://www.co.sanders.mt.us/AgendaCenter/ViewFile/Minutes/_12082025-178</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9</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Commissioners minutes — OEM / fire declaration discussion (Jul 22, 2024)</w:t>
            </w:r>
          </w:p>
        </w:tc>
        <w:tc>
          <w:tcPr>
            <w:tcW w:type="dxa" w:w="2498"/>
            <w:vAlign w:val="center"/>
            <w:tcMar>
              <w:top w:w="80" w:type="dxa"/>
              <w:start w:w="90" w:type="dxa"/>
              <w:bottom w:w="80" w:type="dxa"/>
              <w:end w:w="90" w:type="dxa"/>
            </w:tcMar>
          </w:tcPr>
          <w:p>
            <w:pPr>
              <w:spacing w:after="0" w:line="240" w:lineRule="auto"/>
            </w:pPr>
            <w:hyperlink r:id="rId20">
              <w:r>
                <w:rPr>
                  <w:color w:val="2F5597"/>
                  <w:u w:val="single"/>
                </w:rPr>
                <w:t>https://www.co.sanders.mt.us/AgendaCenter/ViewFile/Minutes/_07222024-72</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10</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LEPC minutes (Feb 12, 2026)</w:t>
            </w:r>
          </w:p>
        </w:tc>
        <w:tc>
          <w:tcPr>
            <w:tcW w:type="dxa" w:w="2498"/>
            <w:vAlign w:val="center"/>
            <w:tcMar>
              <w:top w:w="80" w:type="dxa"/>
              <w:start w:w="90" w:type="dxa"/>
              <w:bottom w:w="80" w:type="dxa"/>
              <w:end w:w="90" w:type="dxa"/>
            </w:tcMar>
            <w:shd w:fill="F5F7FA"/>
          </w:tcPr>
          <w:p>
            <w:pPr>
              <w:spacing w:after="0" w:line="240" w:lineRule="auto"/>
            </w:pPr>
            <w:hyperlink r:id="rId21">
              <w:r>
                <w:rPr>
                  <w:color w:val="2F5597"/>
                  <w:u w:val="single"/>
                </w:rPr>
                <w:t>https://www.co.sanders.mt.us/AgendaCenter/ViewFile/Minutes/_02122026-198</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11</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floodplain regulations (2016 revisions PDF)</w:t>
            </w:r>
          </w:p>
        </w:tc>
        <w:tc>
          <w:tcPr>
            <w:tcW w:type="dxa" w:w="2498"/>
            <w:vAlign w:val="center"/>
            <w:tcMar>
              <w:top w:w="80" w:type="dxa"/>
              <w:start w:w="90" w:type="dxa"/>
              <w:bottom w:w="80" w:type="dxa"/>
              <w:end w:w="90" w:type="dxa"/>
            </w:tcMar>
          </w:tcPr>
          <w:p>
            <w:pPr>
              <w:spacing w:after="0" w:line="240" w:lineRule="auto"/>
            </w:pPr>
            <w:hyperlink r:id="rId22">
              <w:r>
                <w:rPr>
                  <w:color w:val="2F5597"/>
                  <w:u w:val="single"/>
                </w:rPr>
                <w:t>https://co.sanders.mt.us/DocumentCenter/View/312/2016-Floodplain-Revisions-PDF</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12</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Montana Code Annotated 10-3-402 (local emergency declaration)</w:t>
            </w:r>
          </w:p>
        </w:tc>
        <w:tc>
          <w:tcPr>
            <w:tcW w:type="dxa" w:w="2498"/>
            <w:vAlign w:val="center"/>
            <w:tcMar>
              <w:top w:w="80" w:type="dxa"/>
              <w:start w:w="90" w:type="dxa"/>
              <w:bottom w:w="80" w:type="dxa"/>
              <w:end w:w="90" w:type="dxa"/>
            </w:tcMar>
            <w:shd w:fill="F5F7FA"/>
          </w:tcPr>
          <w:p>
            <w:pPr>
              <w:spacing w:after="0" w:line="240" w:lineRule="auto"/>
            </w:pPr>
            <w:hyperlink r:id="rId23">
              <w:r>
                <w:rPr>
                  <w:color w:val="2F5597"/>
                  <w:u w:val="single"/>
                </w:rPr>
                <w:t>https://mca.legmt.gov/bills/mca/title_0100/chapter_0030/part_0040/section_0020/0100-0030-0040-0020.html</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13</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Montana Association of Counties — Guide for using model emergency proclamation / disaster declaration templates</w:t>
            </w:r>
          </w:p>
        </w:tc>
        <w:tc>
          <w:tcPr>
            <w:tcW w:type="dxa" w:w="2498"/>
            <w:vAlign w:val="center"/>
            <w:tcMar>
              <w:top w:w="80" w:type="dxa"/>
              <w:start w:w="90" w:type="dxa"/>
              <w:bottom w:w="80" w:type="dxa"/>
              <w:end w:w="90" w:type="dxa"/>
            </w:tcMar>
          </w:tcPr>
          <w:p>
            <w:pPr>
              <w:spacing w:after="0" w:line="240" w:lineRule="auto"/>
            </w:pPr>
            <w:hyperlink r:id="rId24">
              <w:r>
                <w:rPr>
                  <w:color w:val="2F5597"/>
                  <w:u w:val="single"/>
                </w:rPr>
                <w:t>https://www.mtcounties.org/wp-content/uploads/resources/model-policies-regulations-codes/guide-using-model-emergency-proclamation-disaster-declaration.pdf</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14</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Montana Disaster and Emergency Services — Western Montana Regional Hazard Mitigation Plan (FINAL, Oct 29, 2024), including Sanders County participation / risk rankings</w:t>
            </w:r>
          </w:p>
        </w:tc>
        <w:tc>
          <w:tcPr>
            <w:tcW w:type="dxa" w:w="2498"/>
            <w:vAlign w:val="center"/>
            <w:tcMar>
              <w:top w:w="80" w:type="dxa"/>
              <w:start w:w="90" w:type="dxa"/>
              <w:bottom w:w="80" w:type="dxa"/>
              <w:end w:w="90" w:type="dxa"/>
            </w:tcMar>
            <w:shd w:fill="F5F7FA"/>
          </w:tcPr>
          <w:p>
            <w:pPr>
              <w:spacing w:after="0" w:line="240" w:lineRule="auto"/>
            </w:pPr>
            <w:hyperlink r:id="rId25">
              <w:r>
                <w:rPr>
                  <w:color w:val="2F5597"/>
                  <w:u w:val="single"/>
                </w:rPr>
                <w:t>https://des.mt.gov/Mitigation/Montana-Western-Region-Hazard-Mitigation-Plan-10.29.24-FINAL.pdf</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15</w:t>
            </w:r>
          </w:p>
        </w:tc>
        <w:tc>
          <w:tcPr>
            <w:tcW w:type="dxa" w:w="2498"/>
            <w:vAlign w:val="center"/>
            <w:tcMar>
              <w:top w:w="80" w:type="dxa"/>
              <w:start w:w="90" w:type="dxa"/>
              <w:bottom w:w="80" w:type="dxa"/>
              <w:end w:w="90" w:type="dxa"/>
            </w:tcMar>
          </w:tcPr>
          <w:p>
            <w:pPr>
              <w:spacing w:after="0" w:line="240" w:lineRule="auto"/>
            </w:pPr>
            <w:r>
              <w:rPr>
                <w:rFonts w:ascii="Aptos" w:hAnsi="Aptos"/>
                <w:sz w:val="16"/>
              </w:rPr>
              <w:t>Official county and state</w:t>
            </w:r>
          </w:p>
        </w:tc>
        <w:tc>
          <w:tcPr>
            <w:tcW w:type="dxa" w:w="2498"/>
            <w:vAlign w:val="center"/>
            <w:tcMar>
              <w:top w:w="80" w:type="dxa"/>
              <w:start w:w="90" w:type="dxa"/>
              <w:bottom w:w="80" w:type="dxa"/>
              <w:end w:w="90" w:type="dxa"/>
            </w:tcMar>
          </w:tcPr>
          <w:p>
            <w:pPr>
              <w:spacing w:after="0" w:line="240" w:lineRule="auto"/>
            </w:pPr>
            <w:r>
              <w:rPr>
                <w:rFonts w:ascii="Aptos" w:hAnsi="Aptos"/>
                <w:sz w:val="16"/>
              </w:rPr>
              <w:t>Montana DES — Western Region base / related HMP PDF</w:t>
            </w:r>
          </w:p>
        </w:tc>
        <w:tc>
          <w:tcPr>
            <w:tcW w:type="dxa" w:w="2498"/>
            <w:vAlign w:val="center"/>
            <w:tcMar>
              <w:top w:w="80" w:type="dxa"/>
              <w:start w:w="90" w:type="dxa"/>
              <w:bottom w:w="80" w:type="dxa"/>
              <w:end w:w="90" w:type="dxa"/>
            </w:tcMar>
          </w:tcPr>
          <w:p>
            <w:pPr>
              <w:spacing w:after="0" w:line="240" w:lineRule="auto"/>
            </w:pPr>
            <w:hyperlink r:id="rId26">
              <w:r>
                <w:rPr>
                  <w:color w:val="2F5597"/>
                  <w:u w:val="single"/>
                </w:rPr>
                <w:t>https://des.mt.gov/mitigation/MT-Western-Region-Base-Plan-08.14.24.pdf</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16</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U.S. Census Bureau QuickFacts: Sanders County, Montana</w:t>
            </w:r>
          </w:p>
        </w:tc>
        <w:tc>
          <w:tcPr>
            <w:tcW w:type="dxa" w:w="2498"/>
            <w:vAlign w:val="center"/>
            <w:tcMar>
              <w:top w:w="80" w:type="dxa"/>
              <w:start w:w="90" w:type="dxa"/>
              <w:bottom w:w="80" w:type="dxa"/>
              <w:end w:w="90" w:type="dxa"/>
            </w:tcMar>
            <w:shd w:fill="F5F7FA"/>
          </w:tcPr>
          <w:p>
            <w:pPr>
              <w:spacing w:after="0" w:line="240" w:lineRule="auto"/>
            </w:pPr>
            <w:hyperlink r:id="rId27">
              <w:r>
                <w:rPr>
                  <w:color w:val="2F5597"/>
                  <w:u w:val="single"/>
                </w:rPr>
                <w:t>https://www.census.gov/quickfacts/sanderscountymontana</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17</w:t>
            </w:r>
          </w:p>
        </w:tc>
        <w:tc>
          <w:tcPr>
            <w:tcW w:type="dxa" w:w="2498"/>
            <w:vAlign w:val="center"/>
            <w:tcMar>
              <w:top w:w="80" w:type="dxa"/>
              <w:start w:w="90" w:type="dxa"/>
              <w:bottom w:w="80" w:type="dxa"/>
              <w:end w:w="90" w:type="dxa"/>
            </w:tcMar>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tcPr>
          <w:p>
            <w:pPr>
              <w:spacing w:after="0" w:line="240" w:lineRule="auto"/>
            </w:pPr>
            <w:r>
              <w:rPr>
                <w:rFonts w:ascii="Aptos" w:hAnsi="Aptos"/>
                <w:sz w:val="16"/>
              </w:rPr>
              <w:t>U.S. Census Bureau population / land-area figures as cited via QuickFacts and related Census products (2020 Census; July 1, 2025 estimate)</w:t>
            </w:r>
          </w:p>
        </w:tc>
        <w:tc>
          <w:tcPr>
            <w:tcW w:type="dxa" w:w="2498"/>
            <w:vAlign w:val="center"/>
            <w:tcMar>
              <w:top w:w="80" w:type="dxa"/>
              <w:start w:w="90" w:type="dxa"/>
              <w:bottom w:w="80" w:type="dxa"/>
              <w:end w:w="90" w:type="dxa"/>
            </w:tcMar>
          </w:tcPr>
          <w:p>
            <w:pPr>
              <w:spacing w:after="0" w:line="240" w:lineRule="auto"/>
            </w:pPr>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18</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NOAA / NWRFC — Clark Fork near Plains (PLNM8) station summary (stages and record)</w:t>
            </w:r>
          </w:p>
        </w:tc>
        <w:tc>
          <w:tcPr>
            <w:tcW w:type="dxa" w:w="2498"/>
            <w:vAlign w:val="center"/>
            <w:tcMar>
              <w:top w:w="80" w:type="dxa"/>
              <w:start w:w="90" w:type="dxa"/>
              <w:bottom w:w="80" w:type="dxa"/>
              <w:end w:w="90" w:type="dxa"/>
            </w:tcMar>
            <w:shd w:fill="F5F7FA"/>
          </w:tcPr>
          <w:p>
            <w:pPr>
              <w:spacing w:after="0" w:line="240" w:lineRule="auto"/>
            </w:pPr>
            <w:hyperlink r:id="rId28">
              <w:r>
                <w:rPr>
                  <w:color w:val="2F5597"/>
                  <w:u w:val="single"/>
                </w:rPr>
                <w:t>https://www.nwrfc.noaa.gov/river/station/flowplot/flowplot.cgi?PLNM8=</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19</w:t>
            </w:r>
          </w:p>
        </w:tc>
        <w:tc>
          <w:tcPr>
            <w:tcW w:type="dxa" w:w="2498"/>
            <w:vAlign w:val="center"/>
            <w:tcMar>
              <w:top w:w="80" w:type="dxa"/>
              <w:start w:w="90" w:type="dxa"/>
              <w:bottom w:w="80" w:type="dxa"/>
              <w:end w:w="90" w:type="dxa"/>
            </w:tcMar>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tcPr>
          <w:p>
            <w:pPr>
              <w:spacing w:after="0" w:line="240" w:lineRule="auto"/>
            </w:pPr>
            <w:r>
              <w:rPr>
                <w:rFonts w:ascii="Aptos" w:hAnsi="Aptos"/>
                <w:sz w:val="16"/>
              </w:rPr>
              <w:t>USGS NWIS — Clark Fork near Plains MT (12389000)</w:t>
            </w:r>
          </w:p>
        </w:tc>
        <w:tc>
          <w:tcPr>
            <w:tcW w:type="dxa" w:w="2498"/>
            <w:vAlign w:val="center"/>
            <w:tcMar>
              <w:top w:w="80" w:type="dxa"/>
              <w:start w:w="90" w:type="dxa"/>
              <w:bottom w:w="80" w:type="dxa"/>
              <w:end w:w="90" w:type="dxa"/>
            </w:tcMar>
          </w:tcPr>
          <w:p>
            <w:pPr>
              <w:spacing w:after="0" w:line="240" w:lineRule="auto"/>
            </w:pPr>
            <w:hyperlink r:id="rId29">
              <w:r>
                <w:rPr>
                  <w:color w:val="2F5597"/>
                  <w:u w:val="single"/>
                </w:rPr>
                <w:t>https://waterdata.usgs.gov/nwis/uv/?site_no=12389000</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20</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NOAA / NWRFC — Flathead River at Perma (PERM8)</w:t>
            </w:r>
          </w:p>
        </w:tc>
        <w:tc>
          <w:tcPr>
            <w:tcW w:type="dxa" w:w="2498"/>
            <w:vAlign w:val="center"/>
            <w:tcMar>
              <w:top w:w="80" w:type="dxa"/>
              <w:start w:w="90" w:type="dxa"/>
              <w:bottom w:w="80" w:type="dxa"/>
              <w:end w:w="90" w:type="dxa"/>
            </w:tcMar>
            <w:shd w:fill="F5F7FA"/>
          </w:tcPr>
          <w:p>
            <w:pPr>
              <w:spacing w:after="0" w:line="240" w:lineRule="auto"/>
            </w:pPr>
            <w:hyperlink r:id="rId30">
              <w:r>
                <w:rPr>
                  <w:color w:val="2F5597"/>
                  <w:u w:val="single"/>
                </w:rPr>
                <w:t>https://www.nwrfc.noaa.gov/river/station/flowplot/flowplot.cgi?PERM8=</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21</w:t>
            </w:r>
          </w:p>
        </w:tc>
        <w:tc>
          <w:tcPr>
            <w:tcW w:type="dxa" w:w="2498"/>
            <w:vAlign w:val="center"/>
            <w:tcMar>
              <w:top w:w="80" w:type="dxa"/>
              <w:start w:w="90" w:type="dxa"/>
              <w:bottom w:w="80" w:type="dxa"/>
              <w:end w:w="90" w:type="dxa"/>
            </w:tcMar>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tcPr>
          <w:p>
            <w:pPr>
              <w:spacing w:after="0" w:line="240" w:lineRule="auto"/>
            </w:pPr>
            <w:r>
              <w:rPr>
                <w:rFonts w:ascii="Aptos" w:hAnsi="Aptos"/>
                <w:sz w:val="16"/>
              </w:rPr>
              <w:t>USGS NWIS — Flathead River at Perma MT (12388700)</w:t>
            </w:r>
          </w:p>
        </w:tc>
        <w:tc>
          <w:tcPr>
            <w:tcW w:type="dxa" w:w="2498"/>
            <w:vAlign w:val="center"/>
            <w:tcMar>
              <w:top w:w="80" w:type="dxa"/>
              <w:start w:w="90" w:type="dxa"/>
              <w:bottom w:w="80" w:type="dxa"/>
              <w:end w:w="90" w:type="dxa"/>
            </w:tcMar>
          </w:tcPr>
          <w:p>
            <w:pPr>
              <w:spacing w:after="0" w:line="240" w:lineRule="auto"/>
            </w:pPr>
            <w:hyperlink r:id="rId31">
              <w:r>
                <w:rPr>
                  <w:color w:val="2F5597"/>
                  <w:u w:val="single"/>
                </w:rPr>
                <w:t>https://waterdata.usgs.gov/nwis/uv/?site_no=12388700</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22</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Federal demographic, hydrologic, and aviation</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AirNav — Thompson Falls Airport (KTHM)</w:t>
            </w:r>
          </w:p>
        </w:tc>
        <w:tc>
          <w:tcPr>
            <w:tcW w:type="dxa" w:w="2498"/>
            <w:vAlign w:val="center"/>
            <w:tcMar>
              <w:top w:w="80" w:type="dxa"/>
              <w:start w:w="90" w:type="dxa"/>
              <w:bottom w:w="80" w:type="dxa"/>
              <w:end w:w="90" w:type="dxa"/>
            </w:tcMar>
            <w:shd w:fill="F5F7FA"/>
          </w:tcPr>
          <w:p>
            <w:pPr>
              <w:spacing w:after="0" w:line="240" w:lineRule="auto"/>
            </w:pPr>
            <w:hyperlink r:id="rId32">
              <w:r>
                <w:rPr>
                  <w:color w:val="2F5597"/>
                  <w:u w:val="single"/>
                </w:rPr>
                <w:t>http://www.airnav.com/airport/THM</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23</w:t>
            </w:r>
          </w:p>
        </w:tc>
        <w:tc>
          <w:tcPr>
            <w:tcW w:type="dxa" w:w="2498"/>
            <w:vAlign w:val="center"/>
            <w:tcMar>
              <w:top w:w="80" w:type="dxa"/>
              <w:start w:w="90" w:type="dxa"/>
              <w:bottom w:w="80" w:type="dxa"/>
              <w:end w:w="90" w:type="dxa"/>
            </w:tcMar>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tcPr>
          <w:p>
            <w:pPr>
              <w:spacing w:after="0" w:line="240" w:lineRule="auto"/>
            </w:pPr>
            <w:r>
              <w:rPr>
                <w:rFonts w:ascii="Aptos" w:hAnsi="Aptos"/>
                <w:sz w:val="16"/>
              </w:rPr>
              <w:t>Clark Fork Valley Hospital</w:t>
            </w:r>
          </w:p>
        </w:tc>
        <w:tc>
          <w:tcPr>
            <w:tcW w:type="dxa" w:w="2498"/>
            <w:vAlign w:val="center"/>
            <w:tcMar>
              <w:top w:w="80" w:type="dxa"/>
              <w:start w:w="90" w:type="dxa"/>
              <w:bottom w:w="80" w:type="dxa"/>
              <w:end w:w="90" w:type="dxa"/>
            </w:tcMar>
          </w:tcPr>
          <w:p>
            <w:pPr>
              <w:spacing w:after="0" w:line="240" w:lineRule="auto"/>
            </w:pPr>
            <w:hyperlink r:id="rId33">
              <w:r>
                <w:rPr>
                  <w:color w:val="2F5597"/>
                  <w:u w:val="single"/>
                </w:rPr>
                <w:t>https://www.cfvh.org/</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24</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Plains Community Ambulance</w:t>
            </w:r>
          </w:p>
        </w:tc>
        <w:tc>
          <w:tcPr>
            <w:tcW w:type="dxa" w:w="2498"/>
            <w:vAlign w:val="center"/>
            <w:tcMar>
              <w:top w:w="80" w:type="dxa"/>
              <w:start w:w="90" w:type="dxa"/>
              <w:bottom w:w="80" w:type="dxa"/>
              <w:end w:w="90" w:type="dxa"/>
            </w:tcMar>
            <w:shd w:fill="F5F7FA"/>
          </w:tcPr>
          <w:p>
            <w:pPr>
              <w:spacing w:after="0" w:line="240" w:lineRule="auto"/>
            </w:pPr>
            <w:hyperlink r:id="rId34">
              <w:r>
                <w:rPr>
                  <w:color w:val="2F5597"/>
                  <w:u w:val="single"/>
                </w:rPr>
                <w:t>https://www.plainsambulance.org/</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25</w:t>
            </w:r>
          </w:p>
        </w:tc>
        <w:tc>
          <w:tcPr>
            <w:tcW w:type="dxa" w:w="2498"/>
            <w:vAlign w:val="center"/>
            <w:tcMar>
              <w:top w:w="80" w:type="dxa"/>
              <w:start w:w="90" w:type="dxa"/>
              <w:bottom w:w="80" w:type="dxa"/>
              <w:end w:w="90" w:type="dxa"/>
            </w:tcMar>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tcPr>
          <w:p>
            <w:pPr>
              <w:spacing w:after="0" w:line="240" w:lineRule="auto"/>
            </w:pPr>
            <w:r>
              <w:rPr>
                <w:rFonts w:ascii="Aptos" w:hAnsi="Aptos"/>
                <w:sz w:val="16"/>
              </w:rPr>
              <w:t>Western Montana Area VI Agency on Aging — Sanders County Resources</w:t>
            </w:r>
          </w:p>
        </w:tc>
        <w:tc>
          <w:tcPr>
            <w:tcW w:type="dxa" w:w="2498"/>
            <w:vAlign w:val="center"/>
            <w:tcMar>
              <w:top w:w="80" w:type="dxa"/>
              <w:start w:w="90" w:type="dxa"/>
              <w:bottom w:w="80" w:type="dxa"/>
              <w:end w:w="90" w:type="dxa"/>
            </w:tcMar>
          </w:tcPr>
          <w:p>
            <w:pPr>
              <w:spacing w:after="0" w:line="240" w:lineRule="auto"/>
            </w:pPr>
            <w:hyperlink r:id="rId35">
              <w:r>
                <w:rPr>
                  <w:color w:val="2F5597"/>
                  <w:u w:val="single"/>
                </w:rPr>
                <w:t>https://www.westernmontanaagingservices.org/sanders-county-resources/</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26</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Montana State University Extension — Sanders County “need help?” resource sheet</w:t>
            </w:r>
          </w:p>
        </w:tc>
        <w:tc>
          <w:tcPr>
            <w:tcW w:type="dxa" w:w="2498"/>
            <w:vAlign w:val="center"/>
            <w:tcMar>
              <w:top w:w="80" w:type="dxa"/>
              <w:start w:w="90" w:type="dxa"/>
              <w:bottom w:w="80" w:type="dxa"/>
              <w:end w:w="90" w:type="dxa"/>
            </w:tcMar>
            <w:shd w:fill="F5F7FA"/>
          </w:tcPr>
          <w:p>
            <w:pPr>
              <w:spacing w:after="0" w:line="240" w:lineRule="auto"/>
            </w:pPr>
            <w:hyperlink r:id="rId36">
              <w:r>
                <w:rPr>
                  <w:color w:val="2F5597"/>
                  <w:u w:val="single"/>
                </w:rPr>
                <w:t>https://www.montana.edu/extension/sanders/need%20help.pdf</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27</w:t>
            </w:r>
          </w:p>
        </w:tc>
        <w:tc>
          <w:tcPr>
            <w:tcW w:type="dxa" w:w="2498"/>
            <w:vAlign w:val="center"/>
            <w:tcMar>
              <w:top w:w="80" w:type="dxa"/>
              <w:start w:w="90" w:type="dxa"/>
              <w:bottom w:w="80" w:type="dxa"/>
              <w:end w:w="90" w:type="dxa"/>
            </w:tcMar>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tcPr>
          <w:p>
            <w:pPr>
              <w:spacing w:after="0" w:line="240" w:lineRule="auto"/>
            </w:pPr>
            <w:r>
              <w:rPr>
                <w:rFonts w:ascii="Aptos" w:hAnsi="Aptos"/>
                <w:sz w:val="16"/>
              </w:rPr>
              <w:t>MSU Extension / Ag Impact — Sanders County agriculture profile PDF</w:t>
            </w:r>
          </w:p>
        </w:tc>
        <w:tc>
          <w:tcPr>
            <w:tcW w:type="dxa" w:w="2498"/>
            <w:vAlign w:val="center"/>
            <w:tcMar>
              <w:top w:w="80" w:type="dxa"/>
              <w:start w:w="90" w:type="dxa"/>
              <w:bottom w:w="80" w:type="dxa"/>
              <w:end w:w="90" w:type="dxa"/>
            </w:tcMar>
          </w:tcPr>
          <w:p>
            <w:pPr>
              <w:spacing w:after="0" w:line="240" w:lineRule="auto"/>
            </w:pPr>
            <w:hyperlink r:id="rId37">
              <w:r>
                <w:rPr>
                  <w:color w:val="2F5597"/>
                  <w:u w:val="single"/>
                </w:rPr>
                <w:t>https://www.montana.edu/extension/agimpact/reports/sanders.pdf</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28</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Plains Community Food Bank / Church on the Move</w:t>
            </w:r>
          </w:p>
        </w:tc>
        <w:tc>
          <w:tcPr>
            <w:tcW w:type="dxa" w:w="2498"/>
            <w:vAlign w:val="center"/>
            <w:tcMar>
              <w:top w:w="80" w:type="dxa"/>
              <w:start w:w="90" w:type="dxa"/>
              <w:bottom w:w="80" w:type="dxa"/>
              <w:end w:w="90" w:type="dxa"/>
            </w:tcMar>
            <w:shd w:fill="F5F7FA"/>
          </w:tcPr>
          <w:p>
            <w:pPr>
              <w:spacing w:after="0" w:line="240" w:lineRule="auto"/>
            </w:pPr>
            <w:hyperlink r:id="rId38">
              <w:r>
                <w:rPr>
                  <w:color w:val="2F5597"/>
                  <w:u w:val="single"/>
                </w:rPr>
                <w:t>https://www.plainsfoodbank.org/</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29</w:t>
            </w:r>
          </w:p>
        </w:tc>
        <w:tc>
          <w:tcPr>
            <w:tcW w:type="dxa" w:w="2498"/>
            <w:vAlign w:val="center"/>
            <w:tcMar>
              <w:top w:w="80" w:type="dxa"/>
              <w:start w:w="90" w:type="dxa"/>
              <w:bottom w:w="80" w:type="dxa"/>
              <w:end w:w="90" w:type="dxa"/>
            </w:tcMar>
          </w:tcPr>
          <w:p>
            <w:pPr>
              <w:spacing w:after="0" w:line="240" w:lineRule="auto"/>
            </w:pPr>
            <w:r>
              <w:rPr>
                <w:rFonts w:ascii="Aptos" w:hAnsi="Aptos"/>
                <w:sz w:val="16"/>
              </w:rPr>
              <w:t>Local health, EMS, aging, and facility references</w:t>
            </w:r>
          </w:p>
        </w:tc>
        <w:tc>
          <w:tcPr>
            <w:tcW w:type="dxa" w:w="2498"/>
            <w:vAlign w:val="center"/>
            <w:tcMar>
              <w:top w:w="80" w:type="dxa"/>
              <w:start w:w="90" w:type="dxa"/>
              <w:bottom w:w="80" w:type="dxa"/>
              <w:end w:w="90" w:type="dxa"/>
            </w:tcMar>
          </w:tcPr>
          <w:p>
            <w:pPr>
              <w:spacing w:after="0" w:line="240" w:lineRule="auto"/>
            </w:pPr>
            <w:r>
              <w:rPr>
                <w:rFonts w:ascii="Aptos" w:hAnsi="Aptos"/>
                <w:sz w:val="16"/>
              </w:rPr>
              <w:t>Montana Courts self-help — Sanders County Resource Guide PDF</w:t>
            </w:r>
          </w:p>
        </w:tc>
        <w:tc>
          <w:tcPr>
            <w:tcW w:type="dxa" w:w="2498"/>
            <w:vAlign w:val="center"/>
            <w:tcMar>
              <w:top w:w="80" w:type="dxa"/>
              <w:start w:w="90" w:type="dxa"/>
              <w:bottom w:w="80" w:type="dxa"/>
              <w:end w:w="90" w:type="dxa"/>
            </w:tcMar>
          </w:tcPr>
          <w:p>
            <w:pPr>
              <w:spacing w:after="0" w:line="240" w:lineRule="auto"/>
            </w:pPr>
            <w:hyperlink r:id="rId39">
              <w:r>
                <w:rPr>
                  <w:color w:val="2F5597"/>
                  <w:u w:val="single"/>
                </w:rPr>
                <w:t>https://courts.mt.gov/external/selfhelp/resources/sanders.pdf</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30</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Ledger — “County urges preparedness with smoke, fires” (Aug 6, 2026)</w:t>
            </w:r>
          </w:p>
        </w:tc>
        <w:tc>
          <w:tcPr>
            <w:tcW w:type="dxa" w:w="2498"/>
            <w:vAlign w:val="center"/>
            <w:tcMar>
              <w:top w:w="80" w:type="dxa"/>
              <w:start w:w="90" w:type="dxa"/>
              <w:bottom w:w="80" w:type="dxa"/>
              <w:end w:w="90" w:type="dxa"/>
            </w:tcMar>
            <w:shd w:fill="F5F7FA"/>
          </w:tcPr>
          <w:p>
            <w:pPr>
              <w:spacing w:after="0" w:line="240" w:lineRule="auto"/>
            </w:pPr>
            <w:hyperlink r:id="rId40">
              <w:r>
                <w:rPr>
                  <w:color w:val="2F5597"/>
                  <w:u w:val="single"/>
                </w:rPr>
                <w:t>https://www.scledger.net/story/2026/08/06/news/county-urges-preparedness-with-smoke-fires/14123.html</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31</w:t>
            </w:r>
          </w:p>
        </w:tc>
        <w:tc>
          <w:tcPr>
            <w:tcW w:type="dxa" w:w="2498"/>
            <w:vAlign w:val="center"/>
            <w:tcMar>
              <w:top w:w="80" w:type="dxa"/>
              <w:start w:w="90" w:type="dxa"/>
              <w:bottom w:w="80" w:type="dxa"/>
              <w:end w:w="90" w:type="dxa"/>
            </w:tcMar>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tcPr>
          <w:p>
            <w:pPr>
              <w:spacing w:after="0" w:line="240" w:lineRule="auto"/>
            </w:pPr>
            <w:r>
              <w:rPr>
                <w:rFonts w:ascii="Aptos" w:hAnsi="Aptos"/>
                <w:sz w:val="16"/>
              </w:rPr>
              <w:t>Sanders County Ledger — “County declares flooding emergency” (Dec 11, 2025)</w:t>
            </w:r>
          </w:p>
        </w:tc>
        <w:tc>
          <w:tcPr>
            <w:tcW w:type="dxa" w:w="2498"/>
            <w:vAlign w:val="center"/>
            <w:tcMar>
              <w:top w:w="80" w:type="dxa"/>
              <w:start w:w="90" w:type="dxa"/>
              <w:bottom w:w="80" w:type="dxa"/>
              <w:end w:w="90" w:type="dxa"/>
            </w:tcMar>
          </w:tcPr>
          <w:p>
            <w:pPr>
              <w:spacing w:after="0" w:line="240" w:lineRule="auto"/>
            </w:pPr>
            <w:hyperlink r:id="rId41">
              <w:r>
                <w:rPr>
                  <w:color w:val="2F5597"/>
                  <w:u w:val="single"/>
                </w:rPr>
                <w:t>https://www.scledger.net/story/2025/12/11/news/county-declares-flooding-emergency/13165.html</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32</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Sanders County Ledger — “Sanders County radio station goes live” (Jul 11, 2024)</w:t>
            </w:r>
          </w:p>
        </w:tc>
        <w:tc>
          <w:tcPr>
            <w:tcW w:type="dxa" w:w="2498"/>
            <w:vAlign w:val="center"/>
            <w:tcMar>
              <w:top w:w="80" w:type="dxa"/>
              <w:start w:w="90" w:type="dxa"/>
              <w:bottom w:w="80" w:type="dxa"/>
              <w:end w:w="90" w:type="dxa"/>
            </w:tcMar>
            <w:shd w:fill="F5F7FA"/>
          </w:tcPr>
          <w:p>
            <w:pPr>
              <w:spacing w:after="0" w:line="240" w:lineRule="auto"/>
            </w:pPr>
            <w:hyperlink r:id="rId42">
              <w:r>
                <w:rPr>
                  <w:color w:val="2F5597"/>
                  <w:u w:val="single"/>
                </w:rPr>
                <w:t>https://www.scledger.net/story/2024/07/11/news/sanders-county-radio-station-goes-live/11028.html</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33</w:t>
            </w:r>
          </w:p>
        </w:tc>
        <w:tc>
          <w:tcPr>
            <w:tcW w:type="dxa" w:w="2498"/>
            <w:vAlign w:val="center"/>
            <w:tcMar>
              <w:top w:w="80" w:type="dxa"/>
              <w:start w:w="90" w:type="dxa"/>
              <w:bottom w:w="80" w:type="dxa"/>
              <w:end w:w="90" w:type="dxa"/>
            </w:tcMar>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tcPr>
          <w:p>
            <w:pPr>
              <w:spacing w:after="0" w:line="240" w:lineRule="auto"/>
            </w:pPr>
            <w:r>
              <w:rPr>
                <w:rFonts w:ascii="Aptos" w:hAnsi="Aptos"/>
                <w:sz w:val="16"/>
              </w:rPr>
              <w:t>Valley Press / Mineral Independent — “New coordinator hired for Office of Emergency Management” (Apr 29, 2026)</w:t>
            </w:r>
          </w:p>
        </w:tc>
        <w:tc>
          <w:tcPr>
            <w:tcW w:type="dxa" w:w="2498"/>
            <w:vAlign w:val="center"/>
            <w:tcMar>
              <w:top w:w="80" w:type="dxa"/>
              <w:start w:w="90" w:type="dxa"/>
              <w:bottom w:w="80" w:type="dxa"/>
              <w:end w:w="90" w:type="dxa"/>
            </w:tcMar>
          </w:tcPr>
          <w:p>
            <w:pPr>
              <w:spacing w:after="0" w:line="240" w:lineRule="auto"/>
            </w:pPr>
            <w:hyperlink r:id="rId43">
              <w:r>
                <w:rPr>
                  <w:color w:val="2F5597"/>
                  <w:u w:val="single"/>
                </w:rPr>
                <w:t>https://vp-mi.com/news/2026/apr/29/new-coordinator-hired-for-office-of-emergency-management/</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34</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KPAX — “Wildfire evacuations ordered in Sanders County” (Thorne Creek / Community Center)</w:t>
            </w:r>
          </w:p>
        </w:tc>
        <w:tc>
          <w:tcPr>
            <w:tcW w:type="dxa" w:w="2498"/>
            <w:vAlign w:val="center"/>
            <w:tcMar>
              <w:top w:w="80" w:type="dxa"/>
              <w:start w:w="90" w:type="dxa"/>
              <w:bottom w:w="80" w:type="dxa"/>
              <w:end w:w="90" w:type="dxa"/>
            </w:tcMar>
            <w:shd w:fill="F5F7FA"/>
          </w:tcPr>
          <w:p>
            <w:pPr>
              <w:spacing w:after="0" w:line="240" w:lineRule="auto"/>
            </w:pPr>
            <w:hyperlink r:id="rId44">
              <w:r>
                <w:rPr>
                  <w:color w:val="2F5597"/>
                  <w:u w:val="single"/>
                </w:rPr>
                <w:t>https://www.kpax.com/news/firewatch/evacuations-ordered-in-sanders-county</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35</w:t>
            </w:r>
          </w:p>
        </w:tc>
        <w:tc>
          <w:tcPr>
            <w:tcW w:type="dxa" w:w="2498"/>
            <w:vAlign w:val="center"/>
            <w:tcMar>
              <w:top w:w="80" w:type="dxa"/>
              <w:start w:w="90" w:type="dxa"/>
              <w:bottom w:w="80" w:type="dxa"/>
              <w:end w:w="90" w:type="dxa"/>
            </w:tcMar>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tcPr>
          <w:p>
            <w:pPr>
              <w:spacing w:after="0" w:line="240" w:lineRule="auto"/>
            </w:pPr>
            <w:r>
              <w:rPr>
                <w:rFonts w:ascii="Aptos" w:hAnsi="Aptos"/>
                <w:sz w:val="16"/>
              </w:rPr>
              <w:t>NBC Montana / related reporting — River Road East Fire closures and shelter references</w:t>
            </w:r>
          </w:p>
        </w:tc>
        <w:tc>
          <w:tcPr>
            <w:tcW w:type="dxa" w:w="2498"/>
            <w:vAlign w:val="center"/>
            <w:tcMar>
              <w:top w:w="80" w:type="dxa"/>
              <w:start w:w="90" w:type="dxa"/>
              <w:bottom w:w="80" w:type="dxa"/>
              <w:end w:w="90" w:type="dxa"/>
            </w:tcMar>
          </w:tcPr>
          <w:p>
            <w:pPr>
              <w:spacing w:after="0" w:line="240" w:lineRule="auto"/>
            </w:pPr>
            <w:hyperlink r:id="rId45">
              <w:r>
                <w:rPr>
                  <w:color w:val="2F5597"/>
                  <w:u w:val="single"/>
                </w:rPr>
                <w:t>https://nbcmontana.com/weather/wildfires/hwy-200-partial-closure-due-to-river-road-east-fire</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36</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Montana Public Radio — River Road East Fire / rail lawsuit coverage</w:t>
            </w:r>
          </w:p>
        </w:tc>
        <w:tc>
          <w:tcPr>
            <w:tcW w:type="dxa" w:w="2498"/>
            <w:vAlign w:val="center"/>
            <w:tcMar>
              <w:top w:w="80" w:type="dxa"/>
              <w:start w:w="90" w:type="dxa"/>
              <w:bottom w:w="80" w:type="dxa"/>
              <w:end w:w="90" w:type="dxa"/>
            </w:tcMar>
            <w:shd w:fill="F5F7FA"/>
          </w:tcPr>
          <w:p>
            <w:pPr>
              <w:spacing w:after="0" w:line="240" w:lineRule="auto"/>
            </w:pPr>
            <w:hyperlink r:id="rId46">
              <w:r>
                <w:rPr>
                  <w:color w:val="2F5597"/>
                  <w:u w:val="single"/>
                </w:rPr>
                <w:t>https://www.mtpr.org/montana-news/2023-11-17/lawsuit-claims-fire-near-paradise-was-started-by-a-railcar</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37</w:t>
            </w:r>
          </w:p>
        </w:tc>
        <w:tc>
          <w:tcPr>
            <w:tcW w:type="dxa" w:w="2498"/>
            <w:vAlign w:val="center"/>
            <w:tcMar>
              <w:top w:w="80" w:type="dxa"/>
              <w:start w:w="90" w:type="dxa"/>
              <w:bottom w:w="80" w:type="dxa"/>
              <w:end w:w="90" w:type="dxa"/>
            </w:tcMar>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tcPr>
          <w:p>
            <w:pPr>
              <w:spacing w:after="0" w:line="240" w:lineRule="auto"/>
            </w:pPr>
            <w:r>
              <w:rPr>
                <w:rFonts w:ascii="Aptos" w:hAnsi="Aptos"/>
                <w:sz w:val="16"/>
              </w:rPr>
              <w:t>Daily Inter Lake — state joins River Road East Fire lawsuit (May 3, 2026)</w:t>
            </w:r>
          </w:p>
        </w:tc>
        <w:tc>
          <w:tcPr>
            <w:tcW w:type="dxa" w:w="2498"/>
            <w:vAlign w:val="center"/>
            <w:tcMar>
              <w:top w:w="80" w:type="dxa"/>
              <w:start w:w="90" w:type="dxa"/>
              <w:bottom w:w="80" w:type="dxa"/>
              <w:end w:w="90" w:type="dxa"/>
            </w:tcMar>
          </w:tcPr>
          <w:p>
            <w:pPr>
              <w:spacing w:after="0" w:line="240" w:lineRule="auto"/>
            </w:pPr>
            <w:hyperlink r:id="rId47">
              <w:r>
                <w:rPr>
                  <w:color w:val="2F5597"/>
                  <w:u w:val="single"/>
                </w:rPr>
                <w:t>https://dailyinterlake.com/news/2026/may/03/state-joins-lawsuit-blaming-railroads-for-2023-wildfire/</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38</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News and contemporary incident reporting (used for publicly reported events and channels)</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InciWeb / Northern Rockies fact sheet — River Road East Fire (Sep 1, 2023 PDF)</w:t>
            </w:r>
          </w:p>
        </w:tc>
        <w:tc>
          <w:tcPr>
            <w:tcW w:type="dxa" w:w="2498"/>
            <w:vAlign w:val="center"/>
            <w:tcMar>
              <w:top w:w="80" w:type="dxa"/>
              <w:start w:w="90" w:type="dxa"/>
              <w:bottom w:w="80" w:type="dxa"/>
              <w:end w:w="90" w:type="dxa"/>
            </w:tcMar>
            <w:shd w:fill="F5F7FA"/>
          </w:tcPr>
          <w:p>
            <w:pPr>
              <w:spacing w:after="0" w:line="240" w:lineRule="auto"/>
            </w:pPr>
            <w:hyperlink r:id="rId48">
              <w:r>
                <w:rPr>
                  <w:color w:val="2F5597"/>
                  <w:u w:val="single"/>
                </w:rPr>
                <w:t>https://inciweb-prod-media-bucket.s3.us-gov-west-1.amazonaws.com/s3fs-public/2023-09/09012023_River%20Road%20East%20Fire%20Fact%20Sheet_final.pdf</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39</w:t>
            </w:r>
          </w:p>
        </w:tc>
        <w:tc>
          <w:tcPr>
            <w:tcW w:type="dxa" w:w="2498"/>
            <w:vAlign w:val="center"/>
            <w:tcMar>
              <w:top w:w="80" w:type="dxa"/>
              <w:start w:w="90" w:type="dxa"/>
              <w:bottom w:w="80" w:type="dxa"/>
              <w:end w:w="90" w:type="dxa"/>
            </w:tcMar>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tcPr>
          <w:p>
            <w:pPr>
              <w:spacing w:after="0" w:line="240" w:lineRule="auto"/>
            </w:pPr>
            <w:r>
              <w:rPr>
                <w:rFonts w:ascii="Aptos" w:hAnsi="Aptos"/>
                <w:sz w:val="16"/>
              </w:rPr>
              <w:t>Wikipedia — Sanders County, Montana</w:t>
            </w:r>
          </w:p>
        </w:tc>
        <w:tc>
          <w:tcPr>
            <w:tcW w:type="dxa" w:w="2498"/>
            <w:vAlign w:val="center"/>
            <w:tcMar>
              <w:top w:w="80" w:type="dxa"/>
              <w:start w:w="90" w:type="dxa"/>
              <w:bottom w:w="80" w:type="dxa"/>
              <w:end w:w="90" w:type="dxa"/>
            </w:tcMar>
          </w:tcPr>
          <w:p>
            <w:pPr>
              <w:spacing w:after="0" w:line="240" w:lineRule="auto"/>
            </w:pPr>
            <w:hyperlink r:id="rId49">
              <w:r>
                <w:rPr>
                  <w:color w:val="2F5597"/>
                  <w:u w:val="single"/>
                </w:rPr>
                <w:t>https://en.wikipedia.org/wiki/Sanders_County,_Montana</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40</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Wikipedia — Noxon Rapids Dam</w:t>
            </w:r>
          </w:p>
        </w:tc>
        <w:tc>
          <w:tcPr>
            <w:tcW w:type="dxa" w:w="2498"/>
            <w:vAlign w:val="center"/>
            <w:tcMar>
              <w:top w:w="80" w:type="dxa"/>
              <w:start w:w="90" w:type="dxa"/>
              <w:bottom w:w="80" w:type="dxa"/>
              <w:end w:w="90" w:type="dxa"/>
            </w:tcMar>
            <w:shd w:fill="F5F7FA"/>
          </w:tcPr>
          <w:p>
            <w:pPr>
              <w:spacing w:after="0" w:line="240" w:lineRule="auto"/>
            </w:pPr>
            <w:hyperlink r:id="rId50">
              <w:r>
                <w:rPr>
                  <w:color w:val="2F5597"/>
                  <w:u w:val="single"/>
                </w:rPr>
                <w:t>https://en.wikipedia.org/wiki/Noxon_Rapids_Dam</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41</w:t>
            </w:r>
          </w:p>
        </w:tc>
        <w:tc>
          <w:tcPr>
            <w:tcW w:type="dxa" w:w="2498"/>
            <w:vAlign w:val="center"/>
            <w:tcMar>
              <w:top w:w="80" w:type="dxa"/>
              <w:start w:w="90" w:type="dxa"/>
              <w:bottom w:w="80" w:type="dxa"/>
              <w:end w:w="90" w:type="dxa"/>
            </w:tcMar>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tcPr>
          <w:p>
            <w:pPr>
              <w:spacing w:after="0" w:line="240" w:lineRule="auto"/>
            </w:pPr>
            <w:r>
              <w:rPr>
                <w:rFonts w:ascii="Aptos" w:hAnsi="Aptos"/>
                <w:sz w:val="16"/>
              </w:rPr>
              <w:t>Wikipedia — KERR (AM)</w:t>
            </w:r>
          </w:p>
        </w:tc>
        <w:tc>
          <w:tcPr>
            <w:tcW w:type="dxa" w:w="2498"/>
            <w:vAlign w:val="center"/>
            <w:tcMar>
              <w:top w:w="80" w:type="dxa"/>
              <w:start w:w="90" w:type="dxa"/>
              <w:bottom w:w="80" w:type="dxa"/>
              <w:end w:w="90" w:type="dxa"/>
            </w:tcMar>
          </w:tcPr>
          <w:p>
            <w:pPr>
              <w:spacing w:after="0" w:line="240" w:lineRule="auto"/>
            </w:pPr>
            <w:hyperlink r:id="rId51">
              <w:r>
                <w:rPr>
                  <w:color w:val="2F5597"/>
                  <w:u w:val="single"/>
                </w:rPr>
                <w:t>https://en.wikipedia.org/wiki/KERR</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42</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Wikipedia / highway references — Montana Highway 28 routing (Plains–Elmo)</w:t>
            </w:r>
          </w:p>
        </w:tc>
        <w:tc>
          <w:tcPr>
            <w:tcW w:type="dxa" w:w="2498"/>
            <w:vAlign w:val="center"/>
            <w:tcMar>
              <w:top w:w="80" w:type="dxa"/>
              <w:start w:w="90" w:type="dxa"/>
              <w:bottom w:w="80" w:type="dxa"/>
              <w:end w:w="90" w:type="dxa"/>
            </w:tcMar>
            <w:shd w:fill="F5F7FA"/>
          </w:tcPr>
          <w:p>
            <w:pPr>
              <w:spacing w:after="0" w:line="240" w:lineRule="auto"/>
            </w:pPr>
          </w:p>
        </w:tc>
      </w:tr>
      <w:tr>
        <w:tc>
          <w:tcPr>
            <w:tcW w:type="dxa" w:w="2498"/>
            <w:vAlign w:val="center"/>
            <w:tcMar>
              <w:top w:w="80" w:type="dxa"/>
              <w:start w:w="90" w:type="dxa"/>
              <w:bottom w:w="80" w:type="dxa"/>
              <w:end w:w="90" w:type="dxa"/>
            </w:tcMar>
          </w:tcPr>
          <w:p>
            <w:pPr>
              <w:spacing w:after="0" w:line="240" w:lineRule="auto"/>
            </w:pPr>
            <w:r>
              <w:rPr>
                <w:rFonts w:ascii="Aptos" w:hAnsi="Aptos"/>
                <w:sz w:val="16"/>
              </w:rPr>
              <w:t>43</w:t>
            </w:r>
          </w:p>
        </w:tc>
        <w:tc>
          <w:tcPr>
            <w:tcW w:type="dxa" w:w="2498"/>
            <w:vAlign w:val="center"/>
            <w:tcMar>
              <w:top w:w="80" w:type="dxa"/>
              <w:start w:w="90" w:type="dxa"/>
              <w:bottom w:w="80" w:type="dxa"/>
              <w:end w:w="90" w:type="dxa"/>
            </w:tcMar>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tcPr>
          <w:p>
            <w:pPr>
              <w:spacing w:after="0" w:line="240" w:lineRule="auto"/>
            </w:pPr>
            <w:r>
              <w:rPr>
                <w:rFonts w:ascii="Aptos" w:hAnsi="Aptos"/>
                <w:sz w:val="16"/>
              </w:rPr>
              <w:t>Data USA — Sanders County, MT industry profile</w:t>
            </w:r>
          </w:p>
        </w:tc>
        <w:tc>
          <w:tcPr>
            <w:tcW w:type="dxa" w:w="2498"/>
            <w:vAlign w:val="center"/>
            <w:tcMar>
              <w:top w:w="80" w:type="dxa"/>
              <w:start w:w="90" w:type="dxa"/>
              <w:bottom w:w="80" w:type="dxa"/>
              <w:end w:w="90" w:type="dxa"/>
            </w:tcMar>
          </w:tcPr>
          <w:p>
            <w:pPr>
              <w:spacing w:after="0" w:line="240" w:lineRule="auto"/>
            </w:pPr>
            <w:hyperlink r:id="rId52">
              <w:r>
                <w:rPr>
                  <w:color w:val="2F5597"/>
                  <w:u w:val="single"/>
                </w:rPr>
                <w:t>https://datausa.io/profile/geo/sanders-county-mt</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44</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World Population Review — Sanders County / cities pages (cross-check only; Census preferred)</w:t>
            </w:r>
          </w:p>
        </w:tc>
        <w:tc>
          <w:tcPr>
            <w:tcW w:type="dxa" w:w="2498"/>
            <w:vAlign w:val="center"/>
            <w:tcMar>
              <w:top w:w="80" w:type="dxa"/>
              <w:start w:w="90" w:type="dxa"/>
              <w:bottom w:w="80" w:type="dxa"/>
              <w:end w:w="90" w:type="dxa"/>
            </w:tcMar>
            <w:shd w:fill="F5F7FA"/>
          </w:tcPr>
          <w:p>
            <w:pPr>
              <w:spacing w:after="0" w:line="240" w:lineRule="auto"/>
            </w:pPr>
          </w:p>
        </w:tc>
      </w:tr>
      <w:tr>
        <w:tc>
          <w:tcPr>
            <w:tcW w:type="dxa" w:w="2498"/>
            <w:vAlign w:val="center"/>
            <w:tcMar>
              <w:top w:w="80" w:type="dxa"/>
              <w:start w:w="90" w:type="dxa"/>
              <w:bottom w:w="80" w:type="dxa"/>
              <w:end w:w="90" w:type="dxa"/>
            </w:tcMar>
          </w:tcPr>
          <w:p>
            <w:pPr>
              <w:spacing w:after="0" w:line="240" w:lineRule="auto"/>
            </w:pPr>
            <w:r>
              <w:rPr>
                <w:rFonts w:ascii="Aptos" w:hAnsi="Aptos"/>
                <w:sz w:val="16"/>
              </w:rPr>
              <w:t>45</w:t>
            </w:r>
          </w:p>
        </w:tc>
        <w:tc>
          <w:tcPr>
            <w:tcW w:type="dxa" w:w="2498"/>
            <w:vAlign w:val="center"/>
            <w:tcMar>
              <w:top w:w="80" w:type="dxa"/>
              <w:start w:w="90" w:type="dxa"/>
              <w:bottom w:w="80" w:type="dxa"/>
              <w:end w:w="90" w:type="dxa"/>
            </w:tcMar>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tcPr>
          <w:p>
            <w:pPr>
              <w:spacing w:after="0" w:line="240" w:lineRule="auto"/>
            </w:pPr>
            <w:r>
              <w:rPr>
                <w:rFonts w:ascii="Aptos" w:hAnsi="Aptos"/>
                <w:sz w:val="16"/>
              </w:rPr>
              <w:t>plainfiredata.com — Fire Departments in Sanders County, MT (HIFLD-derived department count)</w:t>
            </w:r>
          </w:p>
        </w:tc>
        <w:tc>
          <w:tcPr>
            <w:tcW w:type="dxa" w:w="2498"/>
            <w:vAlign w:val="center"/>
            <w:tcMar>
              <w:top w:w="80" w:type="dxa"/>
              <w:start w:w="90" w:type="dxa"/>
              <w:bottom w:w="80" w:type="dxa"/>
              <w:end w:w="90" w:type="dxa"/>
            </w:tcMar>
          </w:tcPr>
          <w:p>
            <w:pPr>
              <w:spacing w:after="0" w:line="240" w:lineRule="auto"/>
            </w:pPr>
            <w:hyperlink r:id="rId53">
              <w:r>
                <w:rPr>
                  <w:color w:val="2F5597"/>
                  <w:u w:val="single"/>
                </w:rPr>
                <w:t>https://plainfiredata.com/county/30089</w:t>
              </w:r>
            </w:hyperlink>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46</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Tour200 / regional tourism pages — Highway 200 corridor orientation (non-authoritative geography cross-check)</w:t>
            </w:r>
          </w:p>
        </w:tc>
        <w:tc>
          <w:tcPr>
            <w:tcW w:type="dxa" w:w="2498"/>
            <w:vAlign w:val="center"/>
            <w:tcMar>
              <w:top w:w="80" w:type="dxa"/>
              <w:start w:w="90" w:type="dxa"/>
              <w:bottom w:w="80" w:type="dxa"/>
              <w:end w:w="90" w:type="dxa"/>
            </w:tcMar>
            <w:shd w:fill="F5F7FA"/>
          </w:tcPr>
          <w:p>
            <w:pPr>
              <w:spacing w:after="0" w:line="240" w:lineRule="auto"/>
            </w:pPr>
            <w:hyperlink r:id="rId54">
              <w:r>
                <w:rPr>
                  <w:color w:val="2F5597"/>
                  <w:u w:val="single"/>
                </w:rPr>
                <w:t>https://tour200.com/</w:t>
              </w:r>
            </w:hyperlink>
          </w:p>
        </w:tc>
      </w:tr>
      <w:tr>
        <w:tc>
          <w:tcPr>
            <w:tcW w:type="dxa" w:w="2498"/>
            <w:vAlign w:val="center"/>
            <w:tcMar>
              <w:top w:w="80" w:type="dxa"/>
              <w:start w:w="90" w:type="dxa"/>
              <w:bottom w:w="80" w:type="dxa"/>
              <w:end w:w="90" w:type="dxa"/>
            </w:tcMar>
          </w:tcPr>
          <w:p>
            <w:pPr>
              <w:spacing w:after="0" w:line="240" w:lineRule="auto"/>
            </w:pPr>
            <w:r>
              <w:rPr>
                <w:rFonts w:ascii="Aptos" w:hAnsi="Aptos"/>
                <w:sz w:val="16"/>
              </w:rPr>
              <w:t>47</w:t>
            </w:r>
          </w:p>
        </w:tc>
        <w:tc>
          <w:tcPr>
            <w:tcW w:type="dxa" w:w="2498"/>
            <w:vAlign w:val="center"/>
            <w:tcMar>
              <w:top w:w="80" w:type="dxa"/>
              <w:start w:w="90" w:type="dxa"/>
              <w:bottom w:w="80" w:type="dxa"/>
              <w:end w:w="90" w:type="dxa"/>
            </w:tcMar>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tcPr>
          <w:p>
            <w:pPr>
              <w:spacing w:after="0" w:line="240" w:lineRule="auto"/>
            </w:pPr>
            <w:r>
              <w:rPr>
                <w:rFonts w:ascii="Aptos" w:hAnsi="Aptos"/>
                <w:sz w:val="16"/>
              </w:rPr>
              <w:t>NorthWestern Energy — Thompson Falls Hydroelectric Project pre-application / project description materials (dam ownership / location context)</w:t>
            </w:r>
          </w:p>
        </w:tc>
        <w:tc>
          <w:tcPr>
            <w:tcW w:type="dxa" w:w="2498"/>
            <w:vAlign w:val="center"/>
            <w:tcMar>
              <w:top w:w="80" w:type="dxa"/>
              <w:start w:w="90" w:type="dxa"/>
              <w:bottom w:w="80" w:type="dxa"/>
              <w:end w:w="90" w:type="dxa"/>
            </w:tcMar>
          </w:tcPr>
          <w:p>
            <w:pPr>
              <w:spacing w:after="0" w:line="240" w:lineRule="auto"/>
            </w:pPr>
          </w:p>
        </w:tc>
      </w:tr>
      <w:tr>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48</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shd w:fill="F5F7FA"/>
          </w:tcPr>
          <w:p>
            <w:pPr>
              <w:spacing w:after="0" w:line="240" w:lineRule="auto"/>
            </w:pPr>
            <w:r>
              <w:rPr>
                <w:rFonts w:ascii="Aptos" w:hAnsi="Aptos"/>
                <w:sz w:val="16"/>
              </w:rPr>
              <w:t>FCC / radio station listings — KPLG 91.5 Plains; KERR 750 Polson public file references</w:t>
            </w:r>
          </w:p>
        </w:tc>
        <w:tc>
          <w:tcPr>
            <w:tcW w:type="dxa" w:w="2498"/>
            <w:vAlign w:val="center"/>
            <w:tcMar>
              <w:top w:w="80" w:type="dxa"/>
              <w:start w:w="90" w:type="dxa"/>
              <w:bottom w:w="80" w:type="dxa"/>
              <w:end w:w="90" w:type="dxa"/>
            </w:tcMar>
            <w:shd w:fill="F5F7FA"/>
          </w:tcPr>
          <w:p>
            <w:pPr>
              <w:spacing w:after="0" w:line="240" w:lineRule="auto"/>
            </w:pPr>
          </w:p>
        </w:tc>
      </w:tr>
      <w:tr>
        <w:tc>
          <w:tcPr>
            <w:tcW w:type="dxa" w:w="2498"/>
            <w:vAlign w:val="center"/>
            <w:tcMar>
              <w:top w:w="80" w:type="dxa"/>
              <w:start w:w="90" w:type="dxa"/>
              <w:bottom w:w="80" w:type="dxa"/>
              <w:end w:w="90" w:type="dxa"/>
            </w:tcMar>
          </w:tcPr>
          <w:p>
            <w:pPr>
              <w:spacing w:after="0" w:line="240" w:lineRule="auto"/>
            </w:pPr>
            <w:r>
              <w:rPr>
                <w:rFonts w:ascii="Aptos" w:hAnsi="Aptos"/>
                <w:sz w:val="16"/>
              </w:rPr>
              <w:t>49</w:t>
            </w:r>
          </w:p>
        </w:tc>
        <w:tc>
          <w:tcPr>
            <w:tcW w:type="dxa" w:w="2498"/>
            <w:vAlign w:val="center"/>
            <w:tcMar>
              <w:top w:w="80" w:type="dxa"/>
              <w:start w:w="90" w:type="dxa"/>
              <w:bottom w:w="80" w:type="dxa"/>
              <w:end w:w="90" w:type="dxa"/>
            </w:tcMar>
          </w:tcPr>
          <w:p>
            <w:pPr>
              <w:spacing w:after="0" w:line="240" w:lineRule="auto"/>
            </w:pPr>
            <w:r>
              <w:rPr>
                <w:rFonts w:ascii="Aptos" w:hAnsi="Aptos"/>
                <w:sz w:val="16"/>
              </w:rPr>
              <w:t>Reference / encyclopedia and secondary geographic context</w:t>
            </w:r>
          </w:p>
        </w:tc>
        <w:tc>
          <w:tcPr>
            <w:tcW w:type="dxa" w:w="2498"/>
            <w:vAlign w:val="center"/>
            <w:tcMar>
              <w:top w:w="80" w:type="dxa"/>
              <w:start w:w="90" w:type="dxa"/>
              <w:bottom w:w="80" w:type="dxa"/>
              <w:end w:w="90" w:type="dxa"/>
            </w:tcMar>
          </w:tcPr>
          <w:p>
            <w:pPr>
              <w:spacing w:after="0" w:line="240" w:lineRule="auto"/>
            </w:pPr>
            <w:r>
              <w:rPr>
                <w:rFonts w:ascii="Aptos" w:hAnsi="Aptos"/>
                <w:sz w:val="16"/>
              </w:rPr>
              <w:t>Hyper-Reach community signup (linked from county EM page)</w:t>
            </w:r>
          </w:p>
        </w:tc>
        <w:tc>
          <w:tcPr>
            <w:tcW w:type="dxa" w:w="2498"/>
            <w:vAlign w:val="center"/>
            <w:tcMar>
              <w:top w:w="80" w:type="dxa"/>
              <w:start w:w="90" w:type="dxa"/>
              <w:bottom w:w="80" w:type="dxa"/>
              <w:end w:w="90" w:type="dxa"/>
            </w:tcMar>
          </w:tcPr>
          <w:p>
            <w:pPr>
              <w:spacing w:after="0" w:line="240" w:lineRule="auto"/>
            </w:pPr>
            <w:hyperlink r:id="rId55">
              <w:r>
                <w:rPr>
                  <w:color w:val="2F5597"/>
                  <w:u w:val="single"/>
                </w:rPr>
                <w:t>http://hyper-reach.com/mtsanderssignup.html</w:t>
              </w:r>
            </w:hyperlink>
          </w:p>
        </w:tc>
      </w:tr>
    </w:tbl>
    <w:p>
      <w:pPr>
        <w:spacing w:after="0"/>
      </w:pPr>
    </w:p>
    <w:p>
      <w:pPr>
        <w:pStyle w:val="Heading2"/>
      </w:pPr>
      <w:r>
        <w:t>Research limitations</w:t>
      </w:r>
    </w:p>
    <w:p>
      <w:pPr>
        <w:pStyle w:val="ListBullet"/>
      </w:pPr>
      <w:r>
        <w:t>The county Emergency Operations Plan PDF linked from the Plans page was not fully extracted in this pass; activation levels, formal shelter MOUs, and some resource counts remain UNKNOWN pending EM review of that document.</w:t>
      </w:r>
    </w:p>
    <w:p>
      <w:pPr>
        <w:pStyle w:val="ListBullet"/>
      </w:pPr>
      <w:r>
        <w:t>Personal names of staff appear in some public news and minutes; this fact pack intentionally uses roles only.</w:t>
      </w:r>
    </w:p>
    <w:p>
      <w:pPr>
        <w:pStyle w:val="ListBullet"/>
      </w:pPr>
      <w:r>
        <w:t>Litigation reporting about fire origin is cited only as public controversy context; AI outputs must not assert causation unless an official input says so.</w:t>
      </w:r>
    </w:p>
    <w:sectPr w:rsidR="00FC693F" w:rsidRPr="0006063C" w:rsidSect="00034616">
      <w:headerReference w:type="default" r:id="rId9"/>
      <w:footerReference w:type="default" r:id="rId10"/>
      <w:pgSz w:w="12240" w:h="15840"/>
      <w:pgMar w:top="1080"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17365D"/>
        <w:sz w:val="15"/>
      </w:rPr>
      <w:t xml:space="preserve">DRAFT • GREEN DATA • VERIFY BEFORE OPERATIONAL USE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6"/>
      </w:rPr>
      <w:t>SANDERS COUNTY, MONTANA  |  COUNTY FACT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04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Display" w:hAnsi="Aptos Display"/>
      <w:i/>
      <w:iCs/>
      <w:color w:val="2F5597"/>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sanders.mt.us/" TargetMode="External"/><Relationship Id="rId12" Type="http://schemas.openxmlformats.org/officeDocument/2006/relationships/hyperlink" Target="https://www.co.sanders.mt.us/202/Emergency-Management" TargetMode="External"/><Relationship Id="rId13" Type="http://schemas.openxmlformats.org/officeDocument/2006/relationships/hyperlink" Target="https://www.co.sanders.mt.us/253/Plans" TargetMode="External"/><Relationship Id="rId14" Type="http://schemas.openxmlformats.org/officeDocument/2006/relationships/hyperlink" Target="https://www.co.sanders.mt.us/Directory.aspx" TargetMode="External"/><Relationship Id="rId15" Type="http://schemas.openxmlformats.org/officeDocument/2006/relationships/hyperlink" Target="https://www.co.sanders.mt.us/212/Sheriffs-Office" TargetMode="External"/><Relationship Id="rId16" Type="http://schemas.openxmlformats.org/officeDocument/2006/relationships/hyperlink" Target="https://www.co.sanders.mt.us/194/Airports" TargetMode="External"/><Relationship Id="rId17" Type="http://schemas.openxmlformats.org/officeDocument/2006/relationships/hyperlink" Target="https://www.co.sanders.mt.us/200/County-Fair" TargetMode="External"/><Relationship Id="rId18" Type="http://schemas.openxmlformats.org/officeDocument/2006/relationships/hyperlink" Target="https://www.sanderscountyfair.com/facility-rentals" TargetMode="External"/><Relationship Id="rId19" Type="http://schemas.openxmlformats.org/officeDocument/2006/relationships/hyperlink" Target="https://www.co.sanders.mt.us/AgendaCenter/ViewFile/Minutes/_12082025-178" TargetMode="External"/><Relationship Id="rId20" Type="http://schemas.openxmlformats.org/officeDocument/2006/relationships/hyperlink" Target="https://www.co.sanders.mt.us/AgendaCenter/ViewFile/Minutes/_07222024-72" TargetMode="External"/><Relationship Id="rId21" Type="http://schemas.openxmlformats.org/officeDocument/2006/relationships/hyperlink" Target="https://www.co.sanders.mt.us/AgendaCenter/ViewFile/Minutes/_02122026-198" TargetMode="External"/><Relationship Id="rId22" Type="http://schemas.openxmlformats.org/officeDocument/2006/relationships/hyperlink" Target="https://co.sanders.mt.us/DocumentCenter/View/312/2016-Floodplain-Revisions-PDF" TargetMode="External"/><Relationship Id="rId23" Type="http://schemas.openxmlformats.org/officeDocument/2006/relationships/hyperlink" Target="https://mca.legmt.gov/bills/mca/title_0100/chapter_0030/part_0040/section_0020/0100-0030-0040-0020.html" TargetMode="External"/><Relationship Id="rId24" Type="http://schemas.openxmlformats.org/officeDocument/2006/relationships/hyperlink" Target="https://www.mtcounties.org/wp-content/uploads/resources/model-policies-regulations-codes/guide-using-model-emergency-proclamation-disaster-declaration.pdf" TargetMode="External"/><Relationship Id="rId25" Type="http://schemas.openxmlformats.org/officeDocument/2006/relationships/hyperlink" Target="https://des.mt.gov/Mitigation/Montana-Western-Region-Hazard-Mitigation-Plan-10.29.24-FINAL.pdf" TargetMode="External"/><Relationship Id="rId26" Type="http://schemas.openxmlformats.org/officeDocument/2006/relationships/hyperlink" Target="https://des.mt.gov/mitigation/MT-Western-Region-Base-Plan-08.14.24.pdf" TargetMode="External"/><Relationship Id="rId27" Type="http://schemas.openxmlformats.org/officeDocument/2006/relationships/hyperlink" Target="https://www.census.gov/quickfacts/sanderscountymontana" TargetMode="External"/><Relationship Id="rId28" Type="http://schemas.openxmlformats.org/officeDocument/2006/relationships/hyperlink" Target="https://www.nwrfc.noaa.gov/river/station/flowplot/flowplot.cgi?PLNM8=" TargetMode="External"/><Relationship Id="rId29" Type="http://schemas.openxmlformats.org/officeDocument/2006/relationships/hyperlink" Target="https://waterdata.usgs.gov/nwis/uv/?site_no=12389000" TargetMode="External"/><Relationship Id="rId30" Type="http://schemas.openxmlformats.org/officeDocument/2006/relationships/hyperlink" Target="https://www.nwrfc.noaa.gov/river/station/flowplot/flowplot.cgi?PERM8=" TargetMode="External"/><Relationship Id="rId31" Type="http://schemas.openxmlformats.org/officeDocument/2006/relationships/hyperlink" Target="https://waterdata.usgs.gov/nwis/uv/?site_no=12388700" TargetMode="External"/><Relationship Id="rId32" Type="http://schemas.openxmlformats.org/officeDocument/2006/relationships/hyperlink" Target="http://www.airnav.com/airport/THM" TargetMode="External"/><Relationship Id="rId33" Type="http://schemas.openxmlformats.org/officeDocument/2006/relationships/hyperlink" Target="https://www.cfvh.org/" TargetMode="External"/><Relationship Id="rId34" Type="http://schemas.openxmlformats.org/officeDocument/2006/relationships/hyperlink" Target="https://www.plainsambulance.org/" TargetMode="External"/><Relationship Id="rId35" Type="http://schemas.openxmlformats.org/officeDocument/2006/relationships/hyperlink" Target="https://www.westernmontanaagingservices.org/sanders-county-resources/" TargetMode="External"/><Relationship Id="rId36" Type="http://schemas.openxmlformats.org/officeDocument/2006/relationships/hyperlink" Target="https://www.montana.edu/extension/sanders/need%20help.pdf" TargetMode="External"/><Relationship Id="rId37" Type="http://schemas.openxmlformats.org/officeDocument/2006/relationships/hyperlink" Target="https://www.montana.edu/extension/agimpact/reports/sanders.pdf" TargetMode="External"/><Relationship Id="rId38" Type="http://schemas.openxmlformats.org/officeDocument/2006/relationships/hyperlink" Target="https://www.plainsfoodbank.org/" TargetMode="External"/><Relationship Id="rId39" Type="http://schemas.openxmlformats.org/officeDocument/2006/relationships/hyperlink" Target="https://courts.mt.gov/external/selfhelp/resources/sanders.pdf" TargetMode="External"/><Relationship Id="rId40" Type="http://schemas.openxmlformats.org/officeDocument/2006/relationships/hyperlink" Target="https://www.scledger.net/story/2026/08/06/news/county-urges-preparedness-with-smoke-fires/14123.html" TargetMode="External"/><Relationship Id="rId41" Type="http://schemas.openxmlformats.org/officeDocument/2006/relationships/hyperlink" Target="https://www.scledger.net/story/2025/12/11/news/county-declares-flooding-emergency/13165.html" TargetMode="External"/><Relationship Id="rId42" Type="http://schemas.openxmlformats.org/officeDocument/2006/relationships/hyperlink" Target="https://www.scledger.net/story/2024/07/11/news/sanders-county-radio-station-goes-live/11028.html" TargetMode="External"/><Relationship Id="rId43" Type="http://schemas.openxmlformats.org/officeDocument/2006/relationships/hyperlink" Target="https://vp-mi.com/news/2026/apr/29/new-coordinator-hired-for-office-of-emergency-management/" TargetMode="External"/><Relationship Id="rId44" Type="http://schemas.openxmlformats.org/officeDocument/2006/relationships/hyperlink" Target="https://www.kpax.com/news/firewatch/evacuations-ordered-in-sanders-county" TargetMode="External"/><Relationship Id="rId45" Type="http://schemas.openxmlformats.org/officeDocument/2006/relationships/hyperlink" Target="https://nbcmontana.com/weather/wildfires/hwy-200-partial-closure-due-to-river-road-east-fire" TargetMode="External"/><Relationship Id="rId46" Type="http://schemas.openxmlformats.org/officeDocument/2006/relationships/hyperlink" Target="https://www.mtpr.org/montana-news/2023-11-17/lawsuit-claims-fire-near-paradise-was-started-by-a-railcar" TargetMode="External"/><Relationship Id="rId47" Type="http://schemas.openxmlformats.org/officeDocument/2006/relationships/hyperlink" Target="https://dailyinterlake.com/news/2026/may/03/state-joins-lawsuit-blaming-railroads-for-2023-wildfire/" TargetMode="External"/><Relationship Id="rId48" Type="http://schemas.openxmlformats.org/officeDocument/2006/relationships/hyperlink" Target="https://inciweb-prod-media-bucket.s3.us-gov-west-1.amazonaws.com/s3fs-public/2023-09/09012023_River%20Road%20East%20Fire%20Fact%20Sheet_final.pdf" TargetMode="External"/><Relationship Id="rId49" Type="http://schemas.openxmlformats.org/officeDocument/2006/relationships/hyperlink" Target="https://en.wikipedia.org/wiki/Sanders_County,_Montana" TargetMode="External"/><Relationship Id="rId50" Type="http://schemas.openxmlformats.org/officeDocument/2006/relationships/hyperlink" Target="https://en.wikipedia.org/wiki/Noxon_Rapids_Dam" TargetMode="External"/><Relationship Id="rId51" Type="http://schemas.openxmlformats.org/officeDocument/2006/relationships/hyperlink" Target="https://en.wikipedia.org/wiki/KERR" TargetMode="External"/><Relationship Id="rId52" Type="http://schemas.openxmlformats.org/officeDocument/2006/relationships/hyperlink" Target="https://datausa.io/profile/geo/sanders-county-mt" TargetMode="External"/><Relationship Id="rId53" Type="http://schemas.openxmlformats.org/officeDocument/2006/relationships/hyperlink" Target="https://plainfiredata.com/county/30089" TargetMode="External"/><Relationship Id="rId54" Type="http://schemas.openxmlformats.org/officeDocument/2006/relationships/hyperlink" Target="https://tour200.com/" TargetMode="External"/><Relationship Id="rId55" Type="http://schemas.openxmlformats.org/officeDocument/2006/relationships/hyperlink" Target="http://hyper-reach.com/mtsanderssign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Fact Pack — Sanders County, Montana</dc:title>
  <dc:subject>Emergency management local-context research draft</dc:subject>
  <dc:creator>Sanders County Emergency Management</dc:creator>
  <cp:keywords>Sanders County, emergency management, fact pack, public information</cp:keywords>
  <dc:description>generated by python-docx</dc:description>
  <cp:lastModifiedBy/>
  <cp:revision>1</cp:revision>
  <dcterms:created xsi:type="dcterms:W3CDTF">2013-12-23T23:15:00Z</dcterms:created>
  <dcterms:modified xsi:type="dcterms:W3CDTF">2013-12-23T23:15:00Z</dcterms:modified>
  <cp:category/>
</cp:coreProperties>
</file>