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E8" w:rsidRDefault="00882F02" w:rsidP="009E05E8">
      <w:pPr>
        <w:pStyle w:val="Title"/>
        <w:jc w:val="left"/>
        <w:rPr>
          <w:lang w:val="en-GB"/>
        </w:rPr>
      </w:pPr>
      <w:r>
        <w:rPr>
          <w:lang w:val="en-GB"/>
        </w:rPr>
        <w:t>Comparing and c</w:t>
      </w:r>
      <w:r w:rsidR="009E05E8">
        <w:rPr>
          <w:lang w:val="en-GB"/>
        </w:rPr>
        <w:t>ross-</w:t>
      </w:r>
      <w:r w:rsidR="00AA42E8" w:rsidRPr="00AA42E8">
        <w:rPr>
          <w:lang w:val="en-GB"/>
        </w:rPr>
        <w:t>validati</w:t>
      </w:r>
      <w:r>
        <w:rPr>
          <w:lang w:val="en-GB"/>
        </w:rPr>
        <w:t>ng</w:t>
      </w:r>
      <w:r w:rsidR="00AA42E8" w:rsidRPr="00AA42E8">
        <w:rPr>
          <w:lang w:val="en-GB"/>
        </w:rPr>
        <w:t xml:space="preserve"> of results</w:t>
      </w:r>
      <w:r>
        <w:rPr>
          <w:lang w:val="en-GB"/>
        </w:rPr>
        <w:t xml:space="preserve"> from </w:t>
      </w:r>
      <w:proofErr w:type="spellStart"/>
      <w:r w:rsidR="008A5E02">
        <w:rPr>
          <w:lang w:val="en-GB"/>
        </w:rPr>
        <w:t>L</w:t>
      </w:r>
      <w:r w:rsidR="00171C23">
        <w:rPr>
          <w:lang w:val="en-GB"/>
        </w:rPr>
        <w:t>atent</w:t>
      </w:r>
      <w:r w:rsidR="008A5E02">
        <w:rPr>
          <w:lang w:val="en-GB"/>
        </w:rPr>
        <w:t>G</w:t>
      </w:r>
      <w:r w:rsidR="00171C23">
        <w:rPr>
          <w:lang w:val="en-GB"/>
        </w:rPr>
        <w:t>OLD</w:t>
      </w:r>
      <w:proofErr w:type="spellEnd"/>
      <w:r w:rsidR="008A5E02">
        <w:rPr>
          <w:lang w:val="en-GB"/>
        </w:rPr>
        <w:t xml:space="preserve"> Choice</w:t>
      </w:r>
    </w:p>
    <w:p w:rsidR="00882F02" w:rsidRDefault="00882F02">
      <w:pPr>
        <w:rPr>
          <w:lang w:val="en-GB"/>
        </w:rPr>
      </w:pPr>
    </w:p>
    <w:p w:rsidR="00882F02" w:rsidRDefault="00882F02">
      <w:pPr>
        <w:rPr>
          <w:lang w:val="en-GB"/>
        </w:rPr>
      </w:pPr>
      <w:r>
        <w:rPr>
          <w:lang w:val="en-GB"/>
        </w:rPr>
        <w:t xml:space="preserve">It is possible to estimate μRRM models in </w:t>
      </w:r>
      <w:proofErr w:type="spellStart"/>
      <w:r w:rsidR="008A5E02">
        <w:rPr>
          <w:lang w:val="en-GB"/>
        </w:rPr>
        <w:t>L</w:t>
      </w:r>
      <w:r w:rsidR="00171C23">
        <w:rPr>
          <w:lang w:val="en-GB"/>
        </w:rPr>
        <w:t>atent</w:t>
      </w:r>
      <w:r w:rsidR="008A5E02">
        <w:rPr>
          <w:lang w:val="en-GB"/>
        </w:rPr>
        <w:t>G</w:t>
      </w:r>
      <w:r w:rsidR="00171C23">
        <w:rPr>
          <w:lang w:val="en-GB"/>
        </w:rPr>
        <w:t>OLD</w:t>
      </w:r>
      <w:proofErr w:type="spellEnd"/>
      <w:r w:rsidR="00171C23">
        <w:rPr>
          <w:lang w:val="en-GB"/>
        </w:rPr>
        <w:t xml:space="preserve"> (LG)</w:t>
      </w:r>
      <w:r w:rsidR="008A5E02">
        <w:rPr>
          <w:lang w:val="en-GB"/>
        </w:rPr>
        <w:t xml:space="preserve"> Choice </w:t>
      </w:r>
      <w:proofErr w:type="gramStart"/>
      <w:r w:rsidR="008A5E02">
        <w:rPr>
          <w:lang w:val="en-GB"/>
        </w:rPr>
        <w:t>5.1</w:t>
      </w:r>
      <w:r w:rsidR="000859E2">
        <w:rPr>
          <w:lang w:val="en-GB"/>
        </w:rPr>
        <w:t xml:space="preserve">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r w:rsidR="005C5F35">
        <w:rPr>
          <w:lang w:val="en-GB"/>
        </w:rPr>
        <w:t>I</w:t>
      </w:r>
      <w:r>
        <w:rPr>
          <w:lang w:val="en-GB"/>
        </w:rPr>
        <w:t xml:space="preserve">ts implementation is </w:t>
      </w:r>
      <w:r w:rsidR="005C5F35">
        <w:rPr>
          <w:lang w:val="en-GB"/>
        </w:rPr>
        <w:t>however somewhat</w:t>
      </w:r>
      <w:r>
        <w:rPr>
          <w:lang w:val="en-GB"/>
        </w:rPr>
        <w:t xml:space="preserve"> different from the implement</w:t>
      </w:r>
      <w:r w:rsidR="005C5F35">
        <w:rPr>
          <w:lang w:val="en-GB"/>
        </w:rPr>
        <w:t xml:space="preserve">ation described </w:t>
      </w:r>
      <w:r>
        <w:rPr>
          <w:lang w:val="en-GB"/>
        </w:rPr>
        <w:t>in Cranenburgh et al. 2015</w:t>
      </w:r>
      <w:r w:rsidR="00784574">
        <w:rPr>
          <w:lang w:val="en-GB"/>
        </w:rPr>
        <w:t xml:space="preserve"> (henceforth referred to as the standard implementation)</w:t>
      </w:r>
      <w:r>
        <w:rPr>
          <w:lang w:val="en-GB"/>
        </w:rPr>
        <w:t>.</w:t>
      </w:r>
    </w:p>
    <w:p w:rsidR="00882F02" w:rsidRDefault="00882F02">
      <w:pPr>
        <w:rPr>
          <w:lang w:val="en-GB"/>
        </w:rPr>
      </w:pPr>
    </w:p>
    <w:p w:rsidR="00882F02" w:rsidRDefault="00882F02">
      <w:pPr>
        <w:rPr>
          <w:lang w:val="en-GB"/>
        </w:rPr>
      </w:pPr>
      <w:r>
        <w:rPr>
          <w:lang w:val="en-GB"/>
        </w:rPr>
        <w:t>Equation 1 give</w:t>
      </w:r>
      <w:r w:rsidR="008A5E02">
        <w:rPr>
          <w:lang w:val="en-GB"/>
        </w:rPr>
        <w:t>s</w:t>
      </w:r>
      <w:r>
        <w:rPr>
          <w:lang w:val="en-GB"/>
        </w:rPr>
        <w:t xml:space="preserve"> the implementation of the μRRM mo</w:t>
      </w:r>
      <w:bookmarkStart w:id="0" w:name="_GoBack"/>
      <w:bookmarkEnd w:id="0"/>
      <w:r>
        <w:rPr>
          <w:lang w:val="en-GB"/>
        </w:rPr>
        <w:t xml:space="preserve">del in </w:t>
      </w:r>
      <w:r w:rsidR="008A5E02">
        <w:rPr>
          <w:lang w:val="en-GB"/>
        </w:rPr>
        <w:t>LG Choice 5.1</w:t>
      </w:r>
      <w:r w:rsidR="000859E2">
        <w:rPr>
          <w:lang w:val="en-GB"/>
        </w:rPr>
        <w:t xml:space="preserve"> (see </w:t>
      </w:r>
      <w:r w:rsidR="000859E2">
        <w:rPr>
          <w:lang w:val="en-GB"/>
        </w:rPr>
        <w:fldChar w:fldCharType="begin"/>
      </w:r>
      <w:r w:rsidR="000859E2">
        <w:rPr>
          <w:lang w:val="en-GB"/>
        </w:rPr>
        <w:instrText xml:space="preserve"> ADDIN EN.CITE &lt;EndNote&gt;&lt;Cite AuthorYear="1"&gt;&lt;Author&gt;Vermunt&lt;/Author&gt;&lt;Year&gt;2014&lt;/Year&gt;&lt;RecNum&gt;3842&lt;/RecNum&gt;&lt;DisplayText&gt;Vermunt and Magidson (2014)&lt;/DisplayText&gt;&lt;record&gt;&lt;rec-number&gt;3842&lt;/rec-number&gt;&lt;foreign-keys&gt;&lt;key app="EN" db-id="tarwx2wrmda9dbefz0lxrp0psdpxeewaswsp" timestamp="1436871655"&gt;3842&lt;/key&gt;&lt;/foreign-keys&gt;&lt;ref-type name="Book"&gt;6&lt;/ref-type&gt;&lt;contributors&gt;&lt;authors&gt;&lt;author&gt;Vermunt, J.K.&lt;/author&gt;&lt;author&gt;Magidson, J.&lt;/author&gt;&lt;/authors&gt;&lt;/contributors&gt;&lt;titles&gt;&lt;title&gt;Upgrade manual for Latent GOLD Choice 5.0&lt;/title&gt;&lt;/titles&gt;&lt;dates&gt;&lt;year&gt;2014&lt;/year&gt;&lt;/dates&gt;&lt;pub-location&gt;Belmont, MA , USA&lt;/pub-location&gt;&lt;urls&gt;&lt;/urls&gt;&lt;/record&gt;&lt;/Cite&gt;&lt;/EndNote&gt;</w:instrText>
      </w:r>
      <w:r w:rsidR="000859E2">
        <w:rPr>
          <w:lang w:val="en-GB"/>
        </w:rPr>
        <w:fldChar w:fldCharType="separate"/>
      </w:r>
      <w:r w:rsidR="000859E2">
        <w:rPr>
          <w:noProof/>
          <w:lang w:val="en-GB"/>
        </w:rPr>
        <w:t>Vermunt and Magidson (2014)</w:t>
      </w:r>
      <w:r w:rsidR="000859E2">
        <w:rPr>
          <w:lang w:val="en-GB"/>
        </w:rPr>
        <w:fldChar w:fldCharType="end"/>
      </w:r>
      <w:r w:rsidR="000859E2">
        <w:rPr>
          <w:lang w:val="en-GB"/>
        </w:rPr>
        <w:t>)</w:t>
      </w:r>
      <w:r>
        <w:rPr>
          <w:lang w:val="en-GB"/>
        </w:rPr>
        <w:t xml:space="preserve">; equation 2 gives the </w:t>
      </w:r>
      <w:r w:rsidR="00784574">
        <w:rPr>
          <w:lang w:val="en-GB"/>
        </w:rPr>
        <w:t xml:space="preserve">standard </w:t>
      </w:r>
      <w:r>
        <w:rPr>
          <w:lang w:val="en-GB"/>
        </w:rPr>
        <w:t>implementation.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1093"/>
      </w:tblGrid>
      <w:tr w:rsidR="005C5F35" w:rsidTr="00BC12AC">
        <w:tc>
          <w:tcPr>
            <w:tcW w:w="7763" w:type="dxa"/>
          </w:tcPr>
          <w:bookmarkStart w:id="1" w:name="OLE_LINK9"/>
          <w:bookmarkStart w:id="2" w:name="OLE_LINK10"/>
          <w:bookmarkStart w:id="3" w:name="OLE_LINK11"/>
          <w:bookmarkStart w:id="4" w:name="OLE_LINK4"/>
          <w:bookmarkStart w:id="5" w:name="OLE_LINK5"/>
          <w:bookmarkStart w:id="6" w:name="OLE_LINK6"/>
          <w:bookmarkStart w:id="7" w:name="OLE_LINK7"/>
          <w:bookmarkStart w:id="8" w:name="OLE_LINK8"/>
          <w:bookmarkEnd w:id="1"/>
          <w:bookmarkEnd w:id="2"/>
          <w:bookmarkEnd w:id="3"/>
          <w:p w:rsidR="005C5F35" w:rsidRDefault="00A6334B" w:rsidP="008B0B19">
            <w:pPr>
              <w:jc w:val="center"/>
              <w:rPr>
                <w:lang w:val="en-GB"/>
              </w:rPr>
            </w:pPr>
            <w:r w:rsidRPr="00A6334B">
              <w:rPr>
                <w:position w:val="-56"/>
                <w:lang w:val="en-GB"/>
              </w:rPr>
              <w:object w:dxaOrig="5000" w:dyaOrig="1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15pt;height:52.85pt" o:ole="">
                  <v:imagedata r:id="rId9" o:title=""/>
                </v:shape>
                <o:OLEObject Type="Embed" ProgID="Equation.DSMT4" ShapeID="_x0000_i1025" DrawAspect="Content" ObjectID="_1507473461" r:id="rId10"/>
              </w:object>
            </w:r>
            <w:bookmarkEnd w:id="4"/>
            <w:bookmarkEnd w:id="5"/>
          </w:p>
        </w:tc>
        <w:tc>
          <w:tcPr>
            <w:tcW w:w="1093" w:type="dxa"/>
            <w:vAlign w:val="center"/>
          </w:tcPr>
          <w:p w:rsidR="005C5F35" w:rsidRDefault="005C5F35" w:rsidP="00BC12A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(1)</w:t>
            </w:r>
          </w:p>
        </w:tc>
      </w:tr>
    </w:tbl>
    <w:p w:rsidR="005C5F35" w:rsidRDefault="005C5F35">
      <w:pPr>
        <w:rPr>
          <w:lang w:val="en-GB"/>
        </w:rPr>
      </w:pPr>
      <w:bookmarkStart w:id="9" w:name="OLE_LINK12"/>
      <w:bookmarkStart w:id="10" w:name="OLE_LINK13"/>
      <w:bookmarkStart w:id="11" w:name="OLE_LINK14"/>
      <w:bookmarkEnd w:id="6"/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1093"/>
      </w:tblGrid>
      <w:tr w:rsidR="005C5F35" w:rsidTr="00BC12AC">
        <w:tc>
          <w:tcPr>
            <w:tcW w:w="7763" w:type="dxa"/>
          </w:tcPr>
          <w:p w:rsidR="005C5F35" w:rsidRDefault="005C5F35" w:rsidP="008B0B19">
            <w:pPr>
              <w:jc w:val="center"/>
              <w:rPr>
                <w:lang w:val="en-GB"/>
              </w:rPr>
            </w:pPr>
            <w:r w:rsidRPr="005C5F35">
              <w:rPr>
                <w:position w:val="-48"/>
                <w:lang w:val="en-GB"/>
              </w:rPr>
              <w:object w:dxaOrig="5620" w:dyaOrig="920">
                <v:shape id="_x0000_i1026" type="#_x0000_t75" style="width:281.45pt;height:45.8pt" o:ole="">
                  <v:imagedata r:id="rId11" o:title=""/>
                </v:shape>
                <o:OLEObject Type="Embed" ProgID="Equation.DSMT4" ShapeID="_x0000_i1026" DrawAspect="Content" ObjectID="_1507473462" r:id="rId12"/>
              </w:object>
            </w:r>
          </w:p>
        </w:tc>
        <w:tc>
          <w:tcPr>
            <w:tcW w:w="1093" w:type="dxa"/>
            <w:vAlign w:val="center"/>
          </w:tcPr>
          <w:p w:rsidR="005C5F35" w:rsidRDefault="005C5F35" w:rsidP="00BC12A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(2)</w:t>
            </w:r>
          </w:p>
        </w:tc>
      </w:tr>
    </w:tbl>
    <w:p w:rsidR="00D867B6" w:rsidRDefault="00D867B6">
      <w:pPr>
        <w:rPr>
          <w:lang w:val="en-GB"/>
        </w:rPr>
      </w:pPr>
    </w:p>
    <w:bookmarkEnd w:id="9"/>
    <w:bookmarkEnd w:id="10"/>
    <w:bookmarkEnd w:id="11"/>
    <w:p w:rsidR="00D867B6" w:rsidRDefault="005C5F35">
      <w:pPr>
        <w:rPr>
          <w:lang w:val="en-GB"/>
        </w:rPr>
      </w:pPr>
      <w:r>
        <w:rPr>
          <w:lang w:val="en-GB"/>
        </w:rPr>
        <w:t>Hence, t</w:t>
      </w:r>
      <w:r w:rsidR="00882F02">
        <w:rPr>
          <w:lang w:val="en-GB"/>
        </w:rPr>
        <w:t xml:space="preserve">he implementation </w:t>
      </w:r>
      <w:r w:rsidR="008A5E02">
        <w:rPr>
          <w:lang w:val="en-GB"/>
        </w:rPr>
        <w:t>LG Choice 5.1</w:t>
      </w:r>
      <w:r w:rsidR="00882F02">
        <w:rPr>
          <w:lang w:val="en-GB"/>
        </w:rPr>
        <w:t xml:space="preserve"> differs from the </w:t>
      </w:r>
      <w:r w:rsidR="00784574">
        <w:rPr>
          <w:lang w:val="en-GB"/>
        </w:rPr>
        <w:t xml:space="preserve">standard </w:t>
      </w:r>
      <w:r w:rsidR="00882F02">
        <w:rPr>
          <w:lang w:val="en-GB"/>
        </w:rPr>
        <w:t>implementation in two important ways</w:t>
      </w:r>
      <w:r w:rsidR="00D867B6">
        <w:rPr>
          <w:lang w:val="en-GB"/>
        </w:rPr>
        <w:t>:</w:t>
      </w:r>
    </w:p>
    <w:p w:rsidR="00D867B6" w:rsidRDefault="00D867B6" w:rsidP="00E605D8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 w:rsidRPr="00D867B6">
        <w:rPr>
          <w:lang w:val="en-GB"/>
        </w:rPr>
        <w:t>the</w:t>
      </w:r>
      <w:proofErr w:type="gramEnd"/>
      <w:r w:rsidRPr="00D867B6">
        <w:rPr>
          <w:lang w:val="en-GB"/>
        </w:rPr>
        <w:t xml:space="preserve"> taste </w:t>
      </w:r>
      <w:r w:rsidR="00F40ADA" w:rsidRPr="00D867B6">
        <w:rPr>
          <w:lang w:val="en-GB"/>
        </w:rPr>
        <w:t>parameter</w:t>
      </w:r>
      <w:r w:rsidR="00F40ADA">
        <w:rPr>
          <w:lang w:val="en-GB"/>
        </w:rPr>
        <w:t xml:space="preserve"> </w:t>
      </w:r>
      <w:r w:rsidR="00A6334B" w:rsidRPr="00463F0A">
        <w:rPr>
          <w:position w:val="-12"/>
          <w:lang w:val="en-GB"/>
        </w:rPr>
        <w:object w:dxaOrig="320" w:dyaOrig="380">
          <v:shape id="_x0000_i1027" type="#_x0000_t75" style="width:15.9pt;height:19.15pt" o:ole="">
            <v:imagedata r:id="rId13" o:title=""/>
          </v:shape>
          <o:OLEObject Type="Embed" ProgID="Equation.DSMT4" ShapeID="_x0000_i1027" DrawAspect="Content" ObjectID="_1507473463" r:id="rId14"/>
        </w:object>
      </w:r>
      <w:r w:rsidR="00F40ADA">
        <w:rPr>
          <w:lang w:val="en-GB"/>
        </w:rPr>
        <w:t>is</w:t>
      </w:r>
      <w:r w:rsidRPr="00D867B6">
        <w:rPr>
          <w:lang w:val="en-GB"/>
        </w:rPr>
        <w:t xml:space="preserve"> not divided by the scale </w:t>
      </w:r>
      <w:r w:rsidR="00882F02">
        <w:rPr>
          <w:lang w:val="en-GB"/>
        </w:rPr>
        <w:t xml:space="preserve">parameter </w:t>
      </w:r>
      <w:r w:rsidR="00463F0A">
        <w:rPr>
          <w:lang w:val="en-GB"/>
        </w:rPr>
        <w:t>μ</w:t>
      </w:r>
      <w:r w:rsidR="00A6334B">
        <w:rPr>
          <w:lang w:val="en-GB"/>
        </w:rPr>
        <w:t>.</w:t>
      </w:r>
      <w:r w:rsidR="00463F0A">
        <w:rPr>
          <w:lang w:val="en-GB"/>
        </w:rPr>
        <w:t xml:space="preserve"> </w:t>
      </w:r>
    </w:p>
    <w:p w:rsidR="00D867B6" w:rsidRDefault="00D867B6" w:rsidP="00D867B6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</w:t>
      </w:r>
      <w:r w:rsidR="00463F0A">
        <w:rPr>
          <w:lang w:val="en-GB"/>
        </w:rPr>
        <w:t xml:space="preserve">log </w:t>
      </w:r>
      <w:r>
        <w:rPr>
          <w:lang w:val="en-GB"/>
        </w:rPr>
        <w:t>of the scale is estimated</w:t>
      </w:r>
      <w:r w:rsidR="00ED37AE">
        <w:rPr>
          <w:lang w:val="en-GB"/>
        </w:rPr>
        <w:t>,</w:t>
      </w:r>
      <w:r w:rsidR="00463F0A">
        <w:rPr>
          <w:lang w:val="en-GB"/>
        </w:rPr>
        <w:t xml:space="preserve"> </w:t>
      </w:r>
      <w:r w:rsidR="00E605D8">
        <w:rPr>
          <w:lang w:val="en-GB"/>
        </w:rPr>
        <w:t>instead of the scale</w:t>
      </w:r>
      <w:r w:rsidR="00A6334B">
        <w:rPr>
          <w:lang w:val="en-GB"/>
        </w:rPr>
        <w:t>.</w:t>
      </w:r>
    </w:p>
    <w:p w:rsidR="00D867B6" w:rsidRDefault="00D867B6" w:rsidP="00D867B6">
      <w:pPr>
        <w:rPr>
          <w:lang w:val="en-GB"/>
        </w:rPr>
      </w:pPr>
    </w:p>
    <w:p w:rsidR="00D867B6" w:rsidRPr="00D867B6" w:rsidRDefault="00D867B6" w:rsidP="00D867B6">
      <w:pPr>
        <w:rPr>
          <w:lang w:val="en-GB"/>
        </w:rPr>
      </w:pPr>
      <w:r w:rsidRPr="00D867B6">
        <w:rPr>
          <w:lang w:val="en-GB"/>
        </w:rPr>
        <w:t xml:space="preserve">As a </w:t>
      </w:r>
      <w:r w:rsidR="00624C02">
        <w:rPr>
          <w:lang w:val="en-GB"/>
        </w:rPr>
        <w:t>consequence</w:t>
      </w:r>
      <w:r w:rsidRPr="00D867B6">
        <w:rPr>
          <w:lang w:val="en-GB"/>
        </w:rPr>
        <w:t xml:space="preserve">, </w:t>
      </w:r>
      <w:r w:rsidR="00624C02">
        <w:rPr>
          <w:lang w:val="en-GB"/>
        </w:rPr>
        <w:t>we</w:t>
      </w:r>
      <w:r w:rsidRPr="00D867B6">
        <w:rPr>
          <w:lang w:val="en-GB"/>
        </w:rPr>
        <w:t xml:space="preserve"> cannot directly compare</w:t>
      </w:r>
      <w:r w:rsidR="00F40ADA">
        <w:rPr>
          <w:lang w:val="en-GB"/>
        </w:rPr>
        <w:t xml:space="preserve"> the</w:t>
      </w:r>
      <w:r w:rsidRPr="00D867B6">
        <w:rPr>
          <w:lang w:val="en-GB"/>
        </w:rPr>
        <w:t xml:space="preserve"> results</w:t>
      </w:r>
      <w:r>
        <w:rPr>
          <w:lang w:val="en-GB"/>
        </w:rPr>
        <w:t xml:space="preserve"> </w:t>
      </w:r>
      <w:r w:rsidR="00784574">
        <w:rPr>
          <w:lang w:val="en-GB"/>
        </w:rPr>
        <w:t xml:space="preserve">obtained </w:t>
      </w:r>
      <w:r w:rsidR="00624C02">
        <w:rPr>
          <w:lang w:val="en-GB"/>
        </w:rPr>
        <w:t>using</w:t>
      </w:r>
      <w:r w:rsidR="00784574">
        <w:rPr>
          <w:lang w:val="en-GB"/>
        </w:rPr>
        <w:t xml:space="preserve"> </w:t>
      </w:r>
      <w:r w:rsidR="008A5E02">
        <w:rPr>
          <w:lang w:val="en-GB"/>
        </w:rPr>
        <w:t>LG Choice 5.1</w:t>
      </w:r>
      <w:r>
        <w:rPr>
          <w:lang w:val="en-GB"/>
        </w:rPr>
        <w:t xml:space="preserve"> </w:t>
      </w:r>
      <w:r w:rsidR="00784574">
        <w:rPr>
          <w:lang w:val="en-GB"/>
        </w:rPr>
        <w:t>with the result</w:t>
      </w:r>
      <w:r w:rsidR="00624C02">
        <w:rPr>
          <w:lang w:val="en-GB"/>
        </w:rPr>
        <w:t>s</w:t>
      </w:r>
      <w:r w:rsidR="00784574">
        <w:rPr>
          <w:lang w:val="en-GB"/>
        </w:rPr>
        <w:t xml:space="preserve"> obtained using the standard</w:t>
      </w:r>
      <w:r>
        <w:rPr>
          <w:lang w:val="en-GB"/>
        </w:rPr>
        <w:t xml:space="preserve"> </w:t>
      </w:r>
      <w:r w:rsidR="00B955A6">
        <w:rPr>
          <w:lang w:val="en-GB"/>
        </w:rPr>
        <w:t>implementations</w:t>
      </w:r>
      <w:r w:rsidRPr="00D867B6">
        <w:rPr>
          <w:lang w:val="en-GB"/>
        </w:rPr>
        <w:t xml:space="preserve">. Below we show how to compare </w:t>
      </w:r>
      <w:r w:rsidR="00784574">
        <w:rPr>
          <w:lang w:val="en-GB"/>
        </w:rPr>
        <w:t xml:space="preserve">and cross-validate </w:t>
      </w:r>
      <w:r w:rsidRPr="00D867B6">
        <w:rPr>
          <w:lang w:val="en-GB"/>
        </w:rPr>
        <w:t xml:space="preserve">results </w:t>
      </w:r>
      <w:r>
        <w:rPr>
          <w:lang w:val="en-GB"/>
        </w:rPr>
        <w:t xml:space="preserve">obtained </w:t>
      </w:r>
      <w:r w:rsidR="008B0B19">
        <w:rPr>
          <w:lang w:val="en-GB"/>
        </w:rPr>
        <w:t>using</w:t>
      </w:r>
      <w:r w:rsidRPr="00D867B6">
        <w:rPr>
          <w:lang w:val="en-GB"/>
        </w:rPr>
        <w:t xml:space="preserve"> </w:t>
      </w:r>
      <w:r w:rsidR="008A5E02">
        <w:rPr>
          <w:lang w:val="en-GB"/>
        </w:rPr>
        <w:t>LG Choice 5.1</w:t>
      </w:r>
      <w:r w:rsidRPr="00D867B6">
        <w:rPr>
          <w:lang w:val="en-GB"/>
        </w:rPr>
        <w:t xml:space="preserve"> with</w:t>
      </w:r>
      <w:r>
        <w:rPr>
          <w:lang w:val="en-GB"/>
        </w:rPr>
        <w:t xml:space="preserve"> those </w:t>
      </w:r>
      <w:r w:rsidR="00B955A6">
        <w:rPr>
          <w:lang w:val="en-GB"/>
        </w:rPr>
        <w:t xml:space="preserve">obtained using the </w:t>
      </w:r>
      <w:r w:rsidR="00784574">
        <w:rPr>
          <w:lang w:val="en-GB"/>
        </w:rPr>
        <w:t xml:space="preserve">standard </w:t>
      </w:r>
      <w:r w:rsidR="00B955A6">
        <w:rPr>
          <w:lang w:val="en-GB"/>
        </w:rPr>
        <w:t>implementation</w:t>
      </w:r>
      <w:r>
        <w:rPr>
          <w:lang w:val="en-GB"/>
        </w:rPr>
        <w:t>.</w:t>
      </w:r>
    </w:p>
    <w:p w:rsidR="008A5E02" w:rsidRDefault="008A5E02">
      <w:pPr>
        <w:rPr>
          <w:i/>
          <w:lang w:val="en-GB"/>
        </w:rPr>
      </w:pPr>
    </w:p>
    <w:p w:rsidR="00D867B6" w:rsidRPr="008A5E02" w:rsidRDefault="00784574">
      <w:pPr>
        <w:rPr>
          <w:i/>
          <w:u w:val="single"/>
          <w:lang w:val="en-GB"/>
        </w:rPr>
      </w:pPr>
      <w:r w:rsidRPr="008A5E02">
        <w:rPr>
          <w:i/>
          <w:u w:val="single"/>
          <w:lang w:val="en-GB"/>
        </w:rPr>
        <w:t>Point estimates</w:t>
      </w:r>
    </w:p>
    <w:p w:rsidR="00070973" w:rsidRDefault="00AA42E8">
      <w:pPr>
        <w:rPr>
          <w:lang w:val="en-GB"/>
        </w:rPr>
      </w:pPr>
      <w:r>
        <w:rPr>
          <w:lang w:val="en-GB"/>
        </w:rPr>
        <w:t xml:space="preserve">To compare and cross-validate the </w:t>
      </w:r>
      <w:r w:rsidR="00070973">
        <w:rPr>
          <w:lang w:val="en-GB"/>
        </w:rPr>
        <w:t>point estimates</w:t>
      </w:r>
      <w:r w:rsidR="00784574">
        <w:rPr>
          <w:lang w:val="en-GB"/>
        </w:rPr>
        <w:t xml:space="preserve"> of</w:t>
      </w:r>
      <w:r w:rsidR="00070973">
        <w:rPr>
          <w:lang w:val="en-GB"/>
        </w:rPr>
        <w:t xml:space="preserve"> </w:t>
      </w:r>
      <w:r w:rsidR="008A5E02">
        <w:rPr>
          <w:lang w:val="en-GB"/>
        </w:rPr>
        <w:t>LG Choice 5.1</w:t>
      </w:r>
      <w:r>
        <w:rPr>
          <w:lang w:val="en-GB"/>
        </w:rPr>
        <w:t xml:space="preserve"> </w:t>
      </w:r>
      <w:r w:rsidR="00D867B6">
        <w:rPr>
          <w:lang w:val="en-GB"/>
        </w:rPr>
        <w:t xml:space="preserve">we </w:t>
      </w:r>
      <w:r w:rsidR="00070973">
        <w:rPr>
          <w:lang w:val="en-GB"/>
        </w:rPr>
        <w:t xml:space="preserve">can simply </w:t>
      </w:r>
      <w:r w:rsidR="00784574">
        <w:rPr>
          <w:lang w:val="en-GB"/>
        </w:rPr>
        <w:t>multiply the taste parameter estimates with the e</w:t>
      </w:r>
      <w:r w:rsidR="008B0B19">
        <w:rPr>
          <w:vertAlign w:val="superscript"/>
          <w:lang w:val="en-GB"/>
        </w:rPr>
        <w:t>μ</w:t>
      </w:r>
      <w:r w:rsidR="00784574">
        <w:rPr>
          <w:vertAlign w:val="superscript"/>
          <w:lang w:val="en-GB"/>
        </w:rPr>
        <w:t>*</w:t>
      </w:r>
      <w:r w:rsidR="00784574">
        <w:rPr>
          <w:lang w:val="en-GB"/>
        </w:rPr>
        <w:t xml:space="preserve"> (the scale), see </w:t>
      </w:r>
      <w:r w:rsidR="00070973">
        <w:rPr>
          <w:lang w:val="en-GB"/>
        </w:rPr>
        <w:t>equation 3</w:t>
      </w:r>
      <w:r w:rsidR="00784574">
        <w:rPr>
          <w:lang w:val="en-GB"/>
        </w:rPr>
        <w:t>, where * denotes the LG parameter estimate.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1093"/>
      </w:tblGrid>
      <w:tr w:rsidR="00070973" w:rsidTr="00BC12AC">
        <w:tc>
          <w:tcPr>
            <w:tcW w:w="7763" w:type="dxa"/>
          </w:tcPr>
          <w:bookmarkStart w:id="12" w:name="OLE_LINK15"/>
          <w:bookmarkStart w:id="13" w:name="OLE_LINK16"/>
          <w:bookmarkStart w:id="14" w:name="OLE_LINK17"/>
          <w:p w:rsidR="00070973" w:rsidRDefault="00070973" w:rsidP="008B0B19">
            <w:pPr>
              <w:jc w:val="center"/>
              <w:rPr>
                <w:lang w:val="en-GB"/>
              </w:rPr>
            </w:pPr>
            <w:r w:rsidRPr="00070973">
              <w:rPr>
                <w:position w:val="-136"/>
                <w:lang w:val="en-GB"/>
              </w:rPr>
              <w:object w:dxaOrig="1660" w:dyaOrig="2840">
                <v:shape id="_x0000_i1028" type="#_x0000_t75" style="width:83.2pt;height:141.65pt" o:ole="">
                  <v:imagedata r:id="rId15" o:title=""/>
                </v:shape>
                <o:OLEObject Type="Embed" ProgID="Equation.DSMT4" ShapeID="_x0000_i1028" DrawAspect="Content" ObjectID="_1507473464" r:id="rId16"/>
              </w:object>
            </w:r>
          </w:p>
        </w:tc>
        <w:tc>
          <w:tcPr>
            <w:tcW w:w="1093" w:type="dxa"/>
            <w:vAlign w:val="center"/>
          </w:tcPr>
          <w:p w:rsidR="00070973" w:rsidRDefault="00070973" w:rsidP="00BC12A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(3)</w:t>
            </w:r>
          </w:p>
        </w:tc>
      </w:tr>
    </w:tbl>
    <w:p w:rsidR="00070973" w:rsidRDefault="00070973" w:rsidP="00070973">
      <w:pPr>
        <w:rPr>
          <w:lang w:val="en-GB"/>
        </w:rPr>
      </w:pPr>
    </w:p>
    <w:bookmarkEnd w:id="12"/>
    <w:bookmarkEnd w:id="13"/>
    <w:bookmarkEnd w:id="14"/>
    <w:p w:rsidR="00070973" w:rsidRPr="008A5E02" w:rsidRDefault="008A5E02">
      <w:pPr>
        <w:rPr>
          <w:i/>
          <w:u w:val="single"/>
          <w:lang w:val="en-GB"/>
        </w:rPr>
      </w:pPr>
      <w:r w:rsidRPr="008A5E02">
        <w:rPr>
          <w:i/>
          <w:u w:val="single"/>
          <w:lang w:val="en-GB"/>
        </w:rPr>
        <w:t>Standard errors</w:t>
      </w:r>
    </w:p>
    <w:p w:rsidR="00784574" w:rsidRDefault="00784574">
      <w:pPr>
        <w:rPr>
          <w:lang w:val="en-GB"/>
        </w:rPr>
      </w:pPr>
      <w:r>
        <w:rPr>
          <w:lang w:val="en-GB"/>
        </w:rPr>
        <w:t xml:space="preserve">To attain the standard error </w:t>
      </w:r>
      <w:r w:rsidR="008B0B19">
        <w:rPr>
          <w:lang w:val="en-GB"/>
        </w:rPr>
        <w:t>we</w:t>
      </w:r>
      <w:r>
        <w:rPr>
          <w:lang w:val="en-GB"/>
        </w:rPr>
        <w:t xml:space="preserve"> apply </w:t>
      </w:r>
      <w:r w:rsidR="00D867B6">
        <w:rPr>
          <w:lang w:val="en-GB"/>
        </w:rPr>
        <w:t xml:space="preserve">the </w:t>
      </w:r>
      <w:r w:rsidR="00937A45" w:rsidRPr="00D867B6">
        <w:rPr>
          <w:lang w:val="en-GB"/>
        </w:rPr>
        <w:t>delta method</w:t>
      </w:r>
      <w:r>
        <w:rPr>
          <w:lang w:val="en-GB"/>
        </w:rPr>
        <w:t xml:space="preserve"> (equation 4)</w:t>
      </w:r>
      <w:r w:rsidR="00070973">
        <w:rPr>
          <w:lang w:val="en-GB"/>
        </w:rPr>
        <w:t>.</w:t>
      </w:r>
    </w:p>
    <w:p w:rsidR="00171C23" w:rsidRDefault="00171C2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1093"/>
      </w:tblGrid>
      <w:tr w:rsidR="00784574" w:rsidTr="00BC12AC">
        <w:tc>
          <w:tcPr>
            <w:tcW w:w="7763" w:type="dxa"/>
          </w:tcPr>
          <w:p w:rsidR="00784574" w:rsidRDefault="00784574" w:rsidP="00A6334B">
            <w:pPr>
              <w:jc w:val="center"/>
              <w:rPr>
                <w:lang w:val="en-GB"/>
              </w:rPr>
            </w:pPr>
            <w:r w:rsidRPr="00937A45">
              <w:rPr>
                <w:position w:val="-14"/>
              </w:rPr>
              <w:object w:dxaOrig="1900" w:dyaOrig="400">
                <v:shape id="_x0000_i1029" type="#_x0000_t75" style="width:95.4pt;height:20.1pt" o:ole="">
                  <v:imagedata r:id="rId17" o:title=""/>
                </v:shape>
                <o:OLEObject Type="Embed" ProgID="Equation.DSMT4" ShapeID="_x0000_i1029" DrawAspect="Content" ObjectID="_1507473465" r:id="rId18"/>
              </w:object>
            </w:r>
            <w:r w:rsidRPr="00D62A9D">
              <w:rPr>
                <w:lang w:val="en-GB"/>
              </w:rPr>
              <w:t xml:space="preserve">, </w:t>
            </w:r>
          </w:p>
        </w:tc>
        <w:tc>
          <w:tcPr>
            <w:tcW w:w="1093" w:type="dxa"/>
            <w:vAlign w:val="center"/>
          </w:tcPr>
          <w:p w:rsidR="00784574" w:rsidRDefault="00784574" w:rsidP="00BC12A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(4)</w:t>
            </w:r>
          </w:p>
        </w:tc>
      </w:tr>
    </w:tbl>
    <w:p w:rsidR="00784574" w:rsidRDefault="00784574" w:rsidP="00784574">
      <w:pPr>
        <w:rPr>
          <w:lang w:val="en-GB"/>
        </w:rPr>
      </w:pPr>
    </w:p>
    <w:p w:rsidR="00781D14" w:rsidRDefault="00A6334B" w:rsidP="00784574">
      <w:pPr>
        <w:rPr>
          <w:lang w:val="en-GB"/>
        </w:rPr>
      </w:pPr>
      <w:proofErr w:type="gramStart"/>
      <w:r w:rsidRPr="00D62A9D">
        <w:rPr>
          <w:lang w:val="en-GB"/>
        </w:rPr>
        <w:t>where</w:t>
      </w:r>
      <w:proofErr w:type="gramEnd"/>
      <w:r w:rsidRPr="00D62A9D">
        <w:rPr>
          <w:lang w:val="en-GB"/>
        </w:rPr>
        <w:t xml:space="preserve"> </w:t>
      </w:r>
      <w:r>
        <w:rPr>
          <w:lang w:val="en-GB"/>
        </w:rPr>
        <w:t xml:space="preserve">Ω denotes the AVC matrix of the LG parameter, </w:t>
      </w:r>
      <w:r w:rsidRPr="00A6334B">
        <w:rPr>
          <w:position w:val="-4"/>
          <w:lang w:val="en-GB"/>
        </w:rPr>
        <w:object w:dxaOrig="260" w:dyaOrig="240">
          <v:shape id="_x0000_i1030" type="#_x0000_t75" style="width:13.1pt;height:12.15pt" o:ole="">
            <v:imagedata r:id="rId19" o:title=""/>
          </v:shape>
          <o:OLEObject Type="Embed" ProgID="Equation.DSMT4" ShapeID="_x0000_i1030" DrawAspect="Content" ObjectID="_1507473466" r:id="rId20"/>
        </w:object>
      </w:r>
      <w:r>
        <w:rPr>
          <w:lang w:val="en-GB"/>
        </w:rPr>
        <w:t>the vector of standard parameters, and</w:t>
      </w:r>
      <w:r w:rsidRPr="00A6334B">
        <w:rPr>
          <w:position w:val="-4"/>
          <w:lang w:val="en-GB"/>
        </w:rPr>
        <w:object w:dxaOrig="320" w:dyaOrig="260">
          <v:shape id="_x0000_i1031" type="#_x0000_t75" style="width:15.9pt;height:13.1pt" o:ole="">
            <v:imagedata r:id="rId21" o:title=""/>
          </v:shape>
          <o:OLEObject Type="Embed" ProgID="Equation.DSMT4" ShapeID="_x0000_i1031" DrawAspect="Content" ObjectID="_1507473467" r:id="rId22"/>
        </w:object>
      </w:r>
      <w:r>
        <w:rPr>
          <w:lang w:val="en-GB"/>
        </w:rPr>
        <w:t xml:space="preserve">the matrix of first derivatives of the standard parameters towards the LG parameters. </w:t>
      </w:r>
      <w:r w:rsidR="008B0B19">
        <w:rPr>
          <w:lang w:val="en-GB"/>
        </w:rPr>
        <w:t>Given the implementation of the μRRM model in LG Choice we get:</w:t>
      </w:r>
    </w:p>
    <w:p w:rsidR="008B0B19" w:rsidRDefault="008B0B19" w:rsidP="00784574">
      <w:pPr>
        <w:rPr>
          <w:lang w:val="en-GB"/>
        </w:rPr>
      </w:pPr>
    </w:p>
    <w:p w:rsidR="00D62A9D" w:rsidRDefault="009E05E8">
      <w:pPr>
        <w:rPr>
          <w:lang w:val="en-GB"/>
        </w:rPr>
      </w:pPr>
      <w:r w:rsidRPr="00781D14">
        <w:rPr>
          <w:position w:val="-18"/>
          <w:lang w:val="en-GB"/>
        </w:rPr>
        <w:object w:dxaOrig="6800" w:dyaOrig="480">
          <v:shape id="_x0000_i1032" type="#_x0000_t75" style="width:339.45pt;height:23.85pt" o:ole="">
            <v:imagedata r:id="rId23" o:title=""/>
          </v:shape>
          <o:OLEObject Type="Embed" ProgID="Equation.DSMT4" ShapeID="_x0000_i1032" DrawAspect="Content" ObjectID="_1507473468" r:id="rId24"/>
        </w:object>
      </w:r>
    </w:p>
    <w:p w:rsidR="00781D14" w:rsidRDefault="00781D14">
      <w:pPr>
        <w:rPr>
          <w:lang w:val="en-GB"/>
        </w:rPr>
      </w:pPr>
    </w:p>
    <w:p w:rsidR="00781D14" w:rsidRDefault="009E05E8">
      <w:pPr>
        <w:rPr>
          <w:lang w:val="en-GB"/>
        </w:rPr>
      </w:pPr>
      <w:r w:rsidRPr="00781D14">
        <w:rPr>
          <w:position w:val="-136"/>
          <w:lang w:val="en-GB"/>
        </w:rPr>
        <w:object w:dxaOrig="7839" w:dyaOrig="2840">
          <v:shape id="_x0000_i1033" type="#_x0000_t75" style="width:392.25pt;height:141.65pt" o:ole="">
            <v:imagedata r:id="rId25" o:title=""/>
          </v:shape>
          <o:OLEObject Type="Embed" ProgID="Equation.DSMT4" ShapeID="_x0000_i1033" DrawAspect="Content" ObjectID="_1507473469" r:id="rId26"/>
        </w:object>
      </w:r>
    </w:p>
    <w:p w:rsidR="00D62A9D" w:rsidRDefault="00D62A9D">
      <w:pPr>
        <w:rPr>
          <w:lang w:val="en-GB"/>
        </w:rPr>
      </w:pPr>
    </w:p>
    <w:p w:rsidR="008B0B19" w:rsidRDefault="008B0B19">
      <w:pPr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9E05E8" w:rsidRDefault="009E05E8">
      <w:pPr>
        <w:rPr>
          <w:lang w:val="en-GB"/>
        </w:rPr>
      </w:pPr>
      <w:r>
        <w:rPr>
          <w:lang w:val="en-GB"/>
        </w:rPr>
        <w:lastRenderedPageBreak/>
        <w:t>The standard errors are the square root of the diagonal element of the covariance matrix</w:t>
      </w:r>
      <w:r w:rsidR="008B0B19">
        <w:rPr>
          <w:lang w:val="en-GB"/>
        </w:rPr>
        <w:t>:</w:t>
      </w:r>
    </w:p>
    <w:p w:rsidR="009E05E8" w:rsidRPr="00D62A9D" w:rsidRDefault="008A5E02">
      <w:pPr>
        <w:rPr>
          <w:lang w:val="en-GB"/>
        </w:rPr>
      </w:pPr>
      <w:r w:rsidRPr="009E05E8">
        <w:rPr>
          <w:position w:val="-138"/>
          <w:lang w:val="en-GB"/>
        </w:rPr>
        <w:object w:dxaOrig="2439" w:dyaOrig="2880">
          <v:shape id="_x0000_i1034" type="#_x0000_t75" style="width:122.05pt;height:2in" o:ole="">
            <v:imagedata r:id="rId27" o:title=""/>
          </v:shape>
          <o:OLEObject Type="Embed" ProgID="Equation.DSMT4" ShapeID="_x0000_i1034" DrawAspect="Content" ObjectID="_1507473470" r:id="rId28"/>
        </w:object>
      </w:r>
    </w:p>
    <w:p w:rsidR="00D62A9D" w:rsidRDefault="00D62A9D">
      <w:pPr>
        <w:rPr>
          <w:lang w:val="en-GB"/>
        </w:rPr>
      </w:pPr>
    </w:p>
    <w:p w:rsidR="008A5E02" w:rsidRDefault="008A5E02">
      <w:pPr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D62A9D" w:rsidRDefault="009E05E8" w:rsidP="008A5E02">
      <w:pPr>
        <w:pStyle w:val="Heading1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Application to the shopping choice data:</w:t>
      </w:r>
    </w:p>
    <w:p w:rsidR="009E05E8" w:rsidRDefault="009E05E8">
      <w:pPr>
        <w:rPr>
          <w:lang w:val="en-GB"/>
        </w:rPr>
      </w:pPr>
    </w:p>
    <w:p w:rsidR="009E05E8" w:rsidRDefault="00D31F59">
      <w:pPr>
        <w:rPr>
          <w:lang w:val="en-GB"/>
        </w:rPr>
      </w:pPr>
      <w:r>
        <w:rPr>
          <w:lang w:val="en-GB"/>
        </w:rPr>
        <w:t>The 1-class model</w:t>
      </w:r>
      <w:r w:rsidR="008A5E02">
        <w:rPr>
          <w:lang w:val="en-GB"/>
        </w:rPr>
        <w:t xml:space="preserve"> yields the following parameter estimates</w:t>
      </w:r>
      <w:r w:rsidR="00A45278">
        <w:rPr>
          <w:lang w:val="en-GB"/>
        </w:rPr>
        <w:t>, and covariance matrix</w:t>
      </w:r>
      <w:r>
        <w:rPr>
          <w:lang w:val="en-GB"/>
        </w:rPr>
        <w:t xml:space="preserve"> Ω</w:t>
      </w:r>
      <w:r w:rsidR="00A45278">
        <w:rPr>
          <w:lang w:val="en-GB"/>
        </w:rPr>
        <w:t>.</w:t>
      </w:r>
    </w:p>
    <w:p w:rsidR="008A5E02" w:rsidRDefault="008A5E02">
      <w:pPr>
        <w:rPr>
          <w:lang w:val="en-GB"/>
        </w:rPr>
      </w:pPr>
    </w:p>
    <w:bookmarkStart w:id="15" w:name="OLE_LINK28"/>
    <w:bookmarkStart w:id="16" w:name="OLE_LINK29"/>
    <w:p w:rsidR="00D31F59" w:rsidRDefault="00D31F59">
      <w:pPr>
        <w:rPr>
          <w:lang w:val="en-GB"/>
        </w:rPr>
      </w:pPr>
      <w:r w:rsidRPr="00D31F59">
        <w:rPr>
          <w:position w:val="-132"/>
          <w:lang w:val="en-GB"/>
        </w:rPr>
        <w:object w:dxaOrig="2520" w:dyaOrig="2760">
          <v:shape id="_x0000_i1035" type="#_x0000_t75" style="width:126.25pt;height:137.9pt" o:ole="">
            <v:imagedata r:id="rId29" o:title=""/>
          </v:shape>
          <o:OLEObject Type="Embed" ProgID="Equation.DSMT4" ShapeID="_x0000_i1035" DrawAspect="Content" ObjectID="_1507473471" r:id="rId30"/>
        </w:object>
      </w:r>
      <w:bookmarkEnd w:id="15"/>
      <w:bookmarkEnd w:id="16"/>
      <w:r>
        <w:rPr>
          <w:lang w:val="en-GB"/>
        </w:rPr>
        <w:tab/>
      </w:r>
      <w:r>
        <w:rPr>
          <w:lang w:val="en-GB"/>
        </w:rPr>
        <w:tab/>
      </w:r>
      <w:r w:rsidR="00284011" w:rsidRPr="009876C7">
        <w:rPr>
          <w:position w:val="-102"/>
          <w:lang w:val="en-GB"/>
        </w:rPr>
        <w:object w:dxaOrig="4540" w:dyaOrig="2160">
          <v:shape id="_x0000_i1036" type="#_x0000_t75" style="width:227.2pt;height:108pt" o:ole="">
            <v:imagedata r:id="rId31" o:title=""/>
          </v:shape>
          <o:OLEObject Type="Embed" ProgID="Equation.DSMT4" ShapeID="_x0000_i1036" DrawAspect="Content" ObjectID="_1507473472" r:id="rId32"/>
        </w:object>
      </w:r>
    </w:p>
    <w:p w:rsidR="00937A45" w:rsidRDefault="00937A45">
      <w:pPr>
        <w:rPr>
          <w:lang w:val="en-GB"/>
        </w:rPr>
      </w:pPr>
    </w:p>
    <w:p w:rsidR="008A5E02" w:rsidRDefault="008A5E02">
      <w:pPr>
        <w:rPr>
          <w:lang w:val="en-GB"/>
        </w:rPr>
      </w:pPr>
      <w:r>
        <w:rPr>
          <w:lang w:val="en-GB"/>
        </w:rPr>
        <w:t>To attain the point estimates we apply equation 3.</w:t>
      </w:r>
      <w:r w:rsidR="00D31F59">
        <w:rPr>
          <w:lang w:val="en-GB"/>
        </w:rPr>
        <w:t xml:space="preserve"> </w:t>
      </w:r>
      <w:r w:rsidR="00A45278">
        <w:rPr>
          <w:lang w:val="en-GB"/>
        </w:rPr>
        <w:t>As expected</w:t>
      </w:r>
      <w:r w:rsidR="00D31F59">
        <w:rPr>
          <w:lang w:val="en-GB"/>
        </w:rPr>
        <w:t>,</w:t>
      </w:r>
      <w:r w:rsidR="00A45278">
        <w:rPr>
          <w:lang w:val="en-GB"/>
        </w:rPr>
        <w:t xml:space="preserve"> these </w:t>
      </w:r>
      <w:r w:rsidR="00311FD8">
        <w:rPr>
          <w:lang w:val="en-GB"/>
        </w:rPr>
        <w:t xml:space="preserve">point estimates </w:t>
      </w:r>
      <w:r w:rsidR="00A45278">
        <w:rPr>
          <w:lang w:val="en-GB"/>
        </w:rPr>
        <w:t>corr</w:t>
      </w:r>
      <w:r w:rsidR="00311FD8">
        <w:rPr>
          <w:lang w:val="en-GB"/>
        </w:rPr>
        <w:t xml:space="preserve">espond exactly with those </w:t>
      </w:r>
      <w:r w:rsidR="00A45278">
        <w:rPr>
          <w:lang w:val="en-GB"/>
        </w:rPr>
        <w:t>obtained using the standard implementation, see Cranenburgh et al. 2015.</w:t>
      </w:r>
    </w:p>
    <w:bookmarkStart w:id="17" w:name="OLE_LINK30"/>
    <w:bookmarkStart w:id="18" w:name="OLE_LINK31"/>
    <w:p w:rsidR="00A45278" w:rsidRDefault="00D31F59" w:rsidP="00D31F59">
      <w:pPr>
        <w:rPr>
          <w:lang w:val="en-GB"/>
        </w:rPr>
      </w:pPr>
      <w:r w:rsidRPr="00D31F59">
        <w:rPr>
          <w:position w:val="-132"/>
          <w:lang w:val="en-GB"/>
        </w:rPr>
        <w:object w:dxaOrig="1960" w:dyaOrig="2760">
          <v:shape id="_x0000_i1037" type="#_x0000_t75" style="width:98.2pt;height:137.9pt" o:ole="">
            <v:imagedata r:id="rId33" o:title=""/>
          </v:shape>
          <o:OLEObject Type="Embed" ProgID="Equation.DSMT4" ShapeID="_x0000_i1037" DrawAspect="Content" ObjectID="_1507473473" r:id="rId34"/>
        </w:object>
      </w:r>
      <w:bookmarkEnd w:id="17"/>
      <w:bookmarkEnd w:id="18"/>
    </w:p>
    <w:p w:rsidR="008A5E02" w:rsidRDefault="008A5E02">
      <w:pPr>
        <w:rPr>
          <w:lang w:val="en-GB"/>
        </w:rPr>
      </w:pPr>
    </w:p>
    <w:p w:rsidR="00D31F59" w:rsidRDefault="00D31F59">
      <w:pPr>
        <w:rPr>
          <w:lang w:val="en-GB"/>
        </w:rPr>
      </w:pPr>
      <w:r>
        <w:rPr>
          <w:lang w:val="en-GB"/>
        </w:rPr>
        <w:t>To attain the standard errors we apply equation 4 to get the covariance matrix</w:t>
      </w:r>
    </w:p>
    <w:p w:rsidR="00D31F59" w:rsidRDefault="00ED37AE">
      <w:pPr>
        <w:rPr>
          <w:lang w:val="en-GB"/>
        </w:rPr>
      </w:pPr>
      <w:r w:rsidRPr="00284011">
        <w:rPr>
          <w:position w:val="-212"/>
          <w:lang w:val="en-GB"/>
        </w:rPr>
        <w:object w:dxaOrig="9100" w:dyaOrig="4360">
          <v:shape id="_x0000_i1038" type="#_x0000_t75" style="width:455.4pt;height:218.35pt" o:ole="">
            <v:imagedata r:id="rId35" o:title=""/>
          </v:shape>
          <o:OLEObject Type="Embed" ProgID="Equation.DSMT4" ShapeID="_x0000_i1038" DrawAspect="Content" ObjectID="_1507473474" r:id="rId36"/>
        </w:object>
      </w:r>
      <w:r w:rsidR="00284011" w:rsidRPr="00284011">
        <w:rPr>
          <w:position w:val="-102"/>
          <w:lang w:val="en-GB"/>
        </w:rPr>
        <w:object w:dxaOrig="6640" w:dyaOrig="2160">
          <v:shape id="_x0000_i1039" type="#_x0000_t75" style="width:332.4pt;height:108pt" o:ole="">
            <v:imagedata r:id="rId37" o:title=""/>
          </v:shape>
          <o:OLEObject Type="Embed" ProgID="Equation.DSMT4" ShapeID="_x0000_i1039" DrawAspect="Content" ObjectID="_1507473475" r:id="rId38"/>
        </w:object>
      </w:r>
    </w:p>
    <w:p w:rsidR="00D31F59" w:rsidRDefault="00D31F59">
      <w:pPr>
        <w:rPr>
          <w:lang w:val="en-GB"/>
        </w:rPr>
      </w:pPr>
    </w:p>
    <w:p w:rsidR="0031690A" w:rsidRDefault="0031690A">
      <w:pPr>
        <w:rPr>
          <w:lang w:val="en-GB"/>
        </w:rPr>
      </w:pPr>
      <w:r>
        <w:rPr>
          <w:lang w:val="en-GB"/>
        </w:rPr>
        <w:t>Finally, the standard errors are obtained by taken the square root of the diagonal elements of the covariance matrix.</w:t>
      </w:r>
      <w:r w:rsidR="008B0B19">
        <w:rPr>
          <w:lang w:val="en-GB"/>
        </w:rPr>
        <w:t xml:space="preserve"> As expected these results correspond exactly</w:t>
      </w:r>
      <w:r w:rsidR="00171C23">
        <w:rPr>
          <w:rStyle w:val="FootnoteReference"/>
          <w:lang w:val="en-GB"/>
        </w:rPr>
        <w:footnoteReference w:id="1"/>
      </w:r>
      <w:r w:rsidR="008B0B19">
        <w:rPr>
          <w:lang w:val="en-GB"/>
        </w:rPr>
        <w:t xml:space="preserve"> with results in Cranenburgh et al. 2015.</w:t>
      </w:r>
    </w:p>
    <w:p w:rsidR="0031690A" w:rsidRDefault="0031690A">
      <w:pPr>
        <w:rPr>
          <w:lang w:val="en-GB"/>
        </w:rPr>
      </w:pPr>
    </w:p>
    <w:p w:rsidR="000859E2" w:rsidRDefault="00263EBE" w:rsidP="00BC12AC">
      <w:pPr>
        <w:rPr>
          <w:lang w:val="en-GB"/>
        </w:rPr>
      </w:pPr>
      <w:r w:rsidRPr="00D31F59">
        <w:rPr>
          <w:position w:val="-132"/>
          <w:lang w:val="en-GB"/>
        </w:rPr>
        <w:object w:dxaOrig="2620" w:dyaOrig="2760">
          <v:shape id="_x0000_i1040" type="#_x0000_t75" style="width:131.4pt;height:137.9pt" o:ole="">
            <v:imagedata r:id="rId39" o:title=""/>
          </v:shape>
          <o:OLEObject Type="Embed" ProgID="Equation.DSMT4" ShapeID="_x0000_i1040" DrawAspect="Content" ObjectID="_1507473476" r:id="rId40"/>
        </w:object>
      </w:r>
    </w:p>
    <w:p w:rsidR="000859E2" w:rsidRDefault="000859E2" w:rsidP="00BC12AC">
      <w:pPr>
        <w:rPr>
          <w:lang w:val="en-GB"/>
        </w:rPr>
      </w:pPr>
    </w:p>
    <w:p w:rsidR="000859E2" w:rsidRPr="000859E2" w:rsidRDefault="000859E2" w:rsidP="000859E2">
      <w:pPr>
        <w:pStyle w:val="EndNoteBibliography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0859E2">
        <w:t xml:space="preserve">Van Cranenburgh, S., Guevara, C. A. &amp; Chorus, C. G. (2015). New insights on random regret minimization models. </w:t>
      </w:r>
      <w:r w:rsidRPr="000859E2">
        <w:rPr>
          <w:i/>
        </w:rPr>
        <w:t>Transportation Research Part A: Policy and Practice</w:t>
      </w:r>
      <w:r w:rsidRPr="000859E2">
        <w:t xml:space="preserve">, </w:t>
      </w:r>
      <w:r w:rsidRPr="000859E2">
        <w:rPr>
          <w:i/>
        </w:rPr>
        <w:t>74(0)</w:t>
      </w:r>
      <w:r w:rsidRPr="000859E2">
        <w:t>, 91-109.</w:t>
      </w:r>
    </w:p>
    <w:p w:rsidR="000859E2" w:rsidRPr="000859E2" w:rsidRDefault="000859E2" w:rsidP="000859E2">
      <w:pPr>
        <w:pStyle w:val="EndNoteBibliography"/>
        <w:ind w:left="720" w:hanging="720"/>
      </w:pPr>
      <w:r w:rsidRPr="000859E2">
        <w:t xml:space="preserve">Vermunt, J. K. &amp; Magidson, J. (2014). </w:t>
      </w:r>
      <w:r w:rsidRPr="000859E2">
        <w:rPr>
          <w:i/>
        </w:rPr>
        <w:t>Upgrade manual for Latent GOLD Choice 5.0</w:t>
      </w:r>
      <w:r w:rsidRPr="000859E2">
        <w:t>. (Belmont, MA , USA).</w:t>
      </w:r>
    </w:p>
    <w:p w:rsidR="00937A45" w:rsidRDefault="000859E2" w:rsidP="00BC12AC">
      <w:r>
        <w:fldChar w:fldCharType="end"/>
      </w:r>
    </w:p>
    <w:sectPr w:rsidR="00937A45" w:rsidSect="00932D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C23" w:rsidRDefault="00171C23" w:rsidP="00171C23">
      <w:pPr>
        <w:spacing w:line="240" w:lineRule="auto"/>
      </w:pPr>
      <w:r>
        <w:separator/>
      </w:r>
    </w:p>
  </w:endnote>
  <w:endnote w:type="continuationSeparator" w:id="0">
    <w:p w:rsidR="00171C23" w:rsidRDefault="00171C23" w:rsidP="00171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C23" w:rsidRDefault="00171C23" w:rsidP="00171C23">
      <w:pPr>
        <w:spacing w:line="240" w:lineRule="auto"/>
      </w:pPr>
      <w:r>
        <w:separator/>
      </w:r>
    </w:p>
  </w:footnote>
  <w:footnote w:type="continuationSeparator" w:id="0">
    <w:p w:rsidR="00171C23" w:rsidRDefault="00171C23" w:rsidP="00171C23">
      <w:pPr>
        <w:spacing w:line="240" w:lineRule="auto"/>
      </w:pPr>
      <w:r>
        <w:continuationSeparator/>
      </w:r>
    </w:p>
  </w:footnote>
  <w:footnote w:id="1">
    <w:p w:rsidR="00171C23" w:rsidRPr="00171C23" w:rsidRDefault="00171C2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0859E2">
        <w:t xml:space="preserve"> In </w:t>
      </w:r>
      <w:r w:rsidR="000859E2">
        <w:rPr>
          <w:lang w:val="en-GB"/>
        </w:rPr>
        <w:fldChar w:fldCharType="begin"/>
      </w:r>
      <w:r w:rsidR="000859E2" w:rsidRPr="000859E2">
        <w:instrText xml:space="preserve"> ADDIN EN.CITE &lt;EndNote&gt;&lt;Cite AuthorYear="1"&gt;&lt;Author&gt;Van Cranenburgh&lt;/Author&gt;&lt;Year&gt;2015&lt;/Year&gt;&lt;RecNum&gt;3812&lt;/RecNum&gt;&lt;DisplayText&gt;Van Cranenburgh et al. (2015)&lt;/DisplayText&gt;&lt;record&gt;&lt;rec-number&gt;3812&lt;/rec-number&gt;&lt;foreign-keys&gt;&lt;key app="EN" db-id="tarwx2wrmda9dbefz0lxrp0psdpxeewaswsp" timestamp="1425808625"&gt;3812&lt;/key&gt;&lt;/foreign-keys&gt;&lt;ref-type name="Journal Article"&gt;17&lt;/ref-type&gt;&lt;contributors&gt;&lt;authors&gt;&lt;author&gt;Van Cranenburgh, S.&lt;/author&gt;&lt;author&gt;Guevara, C. A.&lt;/author&gt;&lt;author&gt;Chorus, C. G.&lt;/author&gt;&lt;/authors&gt;&lt;/contributors&gt;&lt;titles&gt;&lt;title&gt;New insights on random regret minimization models&lt;/title&gt;&lt;secondary-title&gt;Transportation Research Part A: Policy and Practice&lt;/secondary-title&gt;&lt;/titles&gt;&lt;periodical&gt;&lt;full-title&gt;Transportation Research Part A: Policy and Practice&lt;/full-title&gt;&lt;/periodical&gt;&lt;pages&gt;91-109&lt;/pages&gt;&lt;volume&gt;74&lt;/volume&gt;&lt;number&gt;0&lt;/number&gt;&lt;keywords&gt;&lt;keyword&gt;Random regret minimization&lt;/keyword&gt;&lt;keyword&gt;Scale-invariance&lt;/keyword&gt;&lt;keyword&gt;Decision rules&lt;/keyword&gt;&lt;keyword&gt;Logit&lt;/keyword&gt;&lt;keyword&gt;Discrete choice model&lt;/keyword&gt;&lt;/keywords&gt;&lt;dates&gt;&lt;year&gt;2015&lt;/year&gt;&lt;pub-dates&gt;&lt;date&gt;4//&lt;/date&gt;&lt;/pub-dates&gt;&lt;/dates&gt;&lt;isbn&gt;0965-8564&lt;/isbn&gt;&lt;urls&gt;&lt;related-urls&gt;&lt;url&gt;http://www.sciencedirect.com/science/article/pii/S0965856415000166&lt;/url&gt;&lt;/related-urls&gt;&lt;/urls&gt;&lt;electronic-resource-num&gt;http://dx.doi.org/10.1016/j.tra.2015.01.008&lt;/electronic-resource-num&gt;&lt;/record&gt;&lt;/Cite&gt;&lt;/EndNote&gt;</w:instrText>
      </w:r>
      <w:r w:rsidR="000859E2">
        <w:rPr>
          <w:lang w:val="en-GB"/>
        </w:rPr>
        <w:fldChar w:fldCharType="separate"/>
      </w:r>
      <w:r w:rsidR="000859E2" w:rsidRPr="000859E2">
        <w:rPr>
          <w:noProof/>
        </w:rPr>
        <w:t xml:space="preserve">Van Cranenburgh et al. </w:t>
      </w:r>
      <w:r w:rsidR="000859E2">
        <w:rPr>
          <w:noProof/>
          <w:lang w:val="en-GB"/>
        </w:rPr>
        <w:t>(2015)</w:t>
      </w:r>
      <w:r w:rsidR="000859E2">
        <w:rPr>
          <w:lang w:val="en-GB"/>
        </w:rPr>
        <w:fldChar w:fldCharType="end"/>
      </w:r>
      <w:r w:rsidR="000859E2">
        <w:rPr>
          <w:lang w:val="en-GB"/>
        </w:rPr>
        <w:t xml:space="preserve"> </w:t>
      </w:r>
      <w:r>
        <w:rPr>
          <w:lang w:val="en-GB"/>
        </w:rPr>
        <w:t xml:space="preserve">there is a minor error in Table 5.1 </w:t>
      </w:r>
      <w:proofErr w:type="spellStart"/>
      <w:r>
        <w:rPr>
          <w:lang w:val="en-GB"/>
        </w:rPr>
        <w:t>pg</w:t>
      </w:r>
      <w:proofErr w:type="spellEnd"/>
      <w:r>
        <w:rPr>
          <w:lang w:val="en-GB"/>
        </w:rPr>
        <w:t xml:space="preserve"> 101. The reported t-statistic for the difference from one for the scale parameter equals 30.51, instead of 87.83.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5864"/>
    <w:multiLevelType w:val="multilevel"/>
    <w:tmpl w:val="EA5680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Heading1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D9048A6"/>
    <w:multiLevelType w:val="hybridMultilevel"/>
    <w:tmpl w:val="7C36C2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arwx2wrmda9dbefz0lxrp0psdpxeewaswsp&quot;&gt;My EndNote Library2-Saved&lt;record-ids&gt;&lt;item&gt;3812&lt;/item&gt;&lt;item&gt;3842&lt;/item&gt;&lt;/record-ids&gt;&lt;/item&gt;&lt;/Libraries&gt;"/>
  </w:docVars>
  <w:rsids>
    <w:rsidRoot w:val="00937A45"/>
    <w:rsid w:val="00070973"/>
    <w:rsid w:val="000859E2"/>
    <w:rsid w:val="0011673C"/>
    <w:rsid w:val="0013093A"/>
    <w:rsid w:val="00150C45"/>
    <w:rsid w:val="001563E0"/>
    <w:rsid w:val="00171C23"/>
    <w:rsid w:val="00263EBE"/>
    <w:rsid w:val="00284011"/>
    <w:rsid w:val="00311FD8"/>
    <w:rsid w:val="0031690A"/>
    <w:rsid w:val="00397CCA"/>
    <w:rsid w:val="004378A2"/>
    <w:rsid w:val="00463F0A"/>
    <w:rsid w:val="004B4BA2"/>
    <w:rsid w:val="004E0513"/>
    <w:rsid w:val="005C5F35"/>
    <w:rsid w:val="005C5FDD"/>
    <w:rsid w:val="00624C02"/>
    <w:rsid w:val="00630D83"/>
    <w:rsid w:val="00781D14"/>
    <w:rsid w:val="00784574"/>
    <w:rsid w:val="00811F9E"/>
    <w:rsid w:val="00880972"/>
    <w:rsid w:val="00882F02"/>
    <w:rsid w:val="008A5E02"/>
    <w:rsid w:val="008B0B19"/>
    <w:rsid w:val="008C0E4A"/>
    <w:rsid w:val="00932D54"/>
    <w:rsid w:val="00937A45"/>
    <w:rsid w:val="00956880"/>
    <w:rsid w:val="009876C7"/>
    <w:rsid w:val="009E05E8"/>
    <w:rsid w:val="00A430B9"/>
    <w:rsid w:val="00A45278"/>
    <w:rsid w:val="00A6334B"/>
    <w:rsid w:val="00A81055"/>
    <w:rsid w:val="00AA42E8"/>
    <w:rsid w:val="00B955A6"/>
    <w:rsid w:val="00BC12AC"/>
    <w:rsid w:val="00CD55E4"/>
    <w:rsid w:val="00D31F59"/>
    <w:rsid w:val="00D45D27"/>
    <w:rsid w:val="00D62A9D"/>
    <w:rsid w:val="00D867B6"/>
    <w:rsid w:val="00DD08CE"/>
    <w:rsid w:val="00E002DE"/>
    <w:rsid w:val="00E34502"/>
    <w:rsid w:val="00E605D8"/>
    <w:rsid w:val="00ED37AE"/>
    <w:rsid w:val="00F3644C"/>
    <w:rsid w:val="00F40ADA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5E02"/>
    <w:pPr>
      <w:spacing w:line="360" w:lineRule="auto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1563E0"/>
    <w:pPr>
      <w:keepNext/>
      <w:numPr>
        <w:ilvl w:val="1"/>
        <w:numId w:val="2"/>
      </w:numPr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1563E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3E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3E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E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E0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E0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E0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E0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E0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3E0"/>
    <w:rPr>
      <w:rFonts w:ascii="Times New Roman" w:eastAsiaTheme="majorEastAsia" w:hAnsi="Times New Roman" w:cstheme="majorBidi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63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63E0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E0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E0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E0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E0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E0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563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63E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E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563E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63E0"/>
    <w:rPr>
      <w:b/>
      <w:bCs/>
    </w:rPr>
  </w:style>
  <w:style w:type="character" w:styleId="Emphasis">
    <w:name w:val="Emphasis"/>
    <w:basedOn w:val="DefaultParagraphFont"/>
    <w:uiPriority w:val="20"/>
    <w:qFormat/>
    <w:rsid w:val="001563E0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563E0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1563E0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1563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3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63E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E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E0"/>
    <w:rPr>
      <w:b/>
      <w:i/>
      <w:sz w:val="24"/>
    </w:rPr>
  </w:style>
  <w:style w:type="character" w:styleId="SubtleEmphasis">
    <w:name w:val="Subtle Emphasis"/>
    <w:uiPriority w:val="19"/>
    <w:qFormat/>
    <w:rsid w:val="001563E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563E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563E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563E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563E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3E0"/>
    <w:pPr>
      <w:numPr>
        <w:ilvl w:val="0"/>
        <w:numId w:val="0"/>
      </w:numPr>
      <w:outlineLvl w:val="9"/>
    </w:pPr>
  </w:style>
  <w:style w:type="table" w:styleId="TableGrid">
    <w:name w:val="Table Grid"/>
    <w:basedOn w:val="TableNormal"/>
    <w:rsid w:val="005C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171C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71C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171C23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0859E2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FootnoteTextChar"/>
    <w:link w:val="EndNoteBibliographyTitle"/>
    <w:rsid w:val="000859E2"/>
    <w:rPr>
      <w:rFonts w:ascii="Times New Roman" w:hAnsi="Times New Roman"/>
      <w:noProof/>
      <w:sz w:val="20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59E2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FootnoteTextChar"/>
    <w:link w:val="EndNoteBibliography"/>
    <w:rsid w:val="000859E2"/>
    <w:rPr>
      <w:rFonts w:ascii="Times New Roman" w:hAnsi="Times New Roman"/>
      <w:noProof/>
      <w:sz w:val="2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5E02"/>
    <w:pPr>
      <w:spacing w:line="360" w:lineRule="auto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1563E0"/>
    <w:pPr>
      <w:keepNext/>
      <w:numPr>
        <w:ilvl w:val="1"/>
        <w:numId w:val="2"/>
      </w:numPr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1563E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3E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3E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E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E0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E0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E0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E0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E0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3E0"/>
    <w:rPr>
      <w:rFonts w:ascii="Times New Roman" w:eastAsiaTheme="majorEastAsia" w:hAnsi="Times New Roman" w:cstheme="majorBidi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63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63E0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E0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E0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E0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E0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E0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563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63E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E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563E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63E0"/>
    <w:rPr>
      <w:b/>
      <w:bCs/>
    </w:rPr>
  </w:style>
  <w:style w:type="character" w:styleId="Emphasis">
    <w:name w:val="Emphasis"/>
    <w:basedOn w:val="DefaultParagraphFont"/>
    <w:uiPriority w:val="20"/>
    <w:qFormat/>
    <w:rsid w:val="001563E0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563E0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1563E0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1563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3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63E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E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E0"/>
    <w:rPr>
      <w:b/>
      <w:i/>
      <w:sz w:val="24"/>
    </w:rPr>
  </w:style>
  <w:style w:type="character" w:styleId="SubtleEmphasis">
    <w:name w:val="Subtle Emphasis"/>
    <w:uiPriority w:val="19"/>
    <w:qFormat/>
    <w:rsid w:val="001563E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563E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563E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563E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563E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3E0"/>
    <w:pPr>
      <w:numPr>
        <w:ilvl w:val="0"/>
        <w:numId w:val="0"/>
      </w:numPr>
      <w:outlineLvl w:val="9"/>
    </w:pPr>
  </w:style>
  <w:style w:type="table" w:styleId="TableGrid">
    <w:name w:val="Table Grid"/>
    <w:basedOn w:val="TableNormal"/>
    <w:rsid w:val="005C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171C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71C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171C23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0859E2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FootnoteTextChar"/>
    <w:link w:val="EndNoteBibliographyTitle"/>
    <w:rsid w:val="000859E2"/>
    <w:rPr>
      <w:rFonts w:ascii="Times New Roman" w:hAnsi="Times New Roman"/>
      <w:noProof/>
      <w:sz w:val="20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59E2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FootnoteTextChar"/>
    <w:link w:val="EndNoteBibliography"/>
    <w:rsid w:val="000859E2"/>
    <w:rPr>
      <w:rFonts w:ascii="Times New Roman" w:hAnsi="Times New Roman"/>
      <w:noProof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8F162-DCA0-4B45-BA50-FFAFBDD5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B1EE99FA</Template>
  <TotalTime>1438</TotalTime>
  <Pages>6</Pages>
  <Words>397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 van Cranenburgh - TBM</dc:creator>
  <cp:lastModifiedBy>Sander van Cranenburgh - TBM</cp:lastModifiedBy>
  <cp:revision>4</cp:revision>
  <dcterms:created xsi:type="dcterms:W3CDTF">2015-10-27T12:11:00Z</dcterms:created>
  <dcterms:modified xsi:type="dcterms:W3CDTF">2015-10-27T16:50:00Z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