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Highlights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 phone model alone predicts expert pharyngitis labels with AUC 0.67.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deconfounded AUC scores phone-only models 0.5 and recovers the shortcut-free AUC.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Deconfounded, image and fusion models fall from about 0.70 to 0.52–0.58.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Concept erasure removes the phone signal but recovers no throat signal.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Adversarial debiasing lowers AUC yet leaves the phone 97–100% identifiable.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