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PEP PERFORMANCE REPORT</w:t>
      </w:r>
    </w:p>
    <w:p>
      <w:pPr>
        <w:spacing w:after="280"/>
        <w:jc w:val="center"/>
      </w:pPr>
      <w:r>
        <w:rPr>
          <w:i/>
          <w:iCs/>
          <w:color w:val="555555"/>
          <w:sz w:val="22"/>
          <w:szCs w:val="22"/>
        </w:rPr>
        <w:t xml:space="preserve">Flow Analysis  |  Data Pipeline Methodology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4"/>
              <w:left w:val="single" w:color="BFBFBF" w:sz="4"/>
              <w:bottom w:val="single" w:color="BFBFBF" w:sz="4"/>
              <w:right w:val="single" w:color="BFBFBF" w:sz="4"/>
            </w:tcBorders>
            <w:shd w:fill="DCE6F1" w:color="auto" w:val="clear"/>
            <w:tcMar>
              <w:top w:type="dxa" w:w="100"/>
              <w:left w:type="dxa" w:w="150"/>
              <w:bottom w:type="dxa" w:w="100"/>
              <w:right w:type="dxa" w:w="100"/>
            </w:tcMar>
          </w:tcPr>
          <w:p>
            <w:r>
              <w:rPr>
                <w:b/>
                <w:bCs/>
                <w:color w:val="1F3864"/>
                <w:sz w:val="20"/>
                <w:szCs w:val="20"/>
              </w:rPr>
              <w:t xml:space="preserve">Date:</w:t>
            </w:r>
          </w:p>
        </w:tc>
        <w:tc>
          <w:tcPr>
            <w:tcW w:type="dxa" w:w="7100"/>
            <w:tcBorders>
              <w:top w:val="single" w:color="BFBFBF" w:sz="4"/>
              <w:left w:val="single" w:color="BFBFBF" w:sz="4"/>
              <w:bottom w:val="single" w:color="BFBFBF" w:sz="4"/>
              <w:right w:val="single" w:color="BFBFBF" w:sz="4"/>
            </w:tcBorders>
            <w:tcMar>
              <w:top w:type="dxa" w:w="100"/>
              <w:left w:type="dxa" w:w="150"/>
              <w:bottom w:type="dxa" w:w="100"/>
              <w:right w:type="dxa" w:w="100"/>
            </w:tcMar>
          </w:tcPr>
          <w:p>
            <w:r>
              <w:rPr>
                <w:color w:val="333333"/>
                <w:sz w:val="20"/>
                <w:szCs w:val="20"/>
              </w:rPr>
              <w:t xml:space="preserve">15 July 2026</w:t>
            </w:r>
          </w:p>
        </w:tc>
      </w:tr>
      <w:tr>
        <w:tc>
          <w:tcPr>
            <w:tcW w:type="dxa" w:w="2200"/>
            <w:tcBorders>
              <w:top w:val="single" w:color="BFBFBF" w:sz="4"/>
              <w:left w:val="single" w:color="BFBFBF" w:sz="4"/>
              <w:bottom w:val="single" w:color="BFBFBF" w:sz="4"/>
              <w:right w:val="single" w:color="BFBFBF" w:sz="4"/>
            </w:tcBorders>
            <w:shd w:fill="DCE6F1" w:color="auto" w:val="clear"/>
            <w:tcMar>
              <w:top w:type="dxa" w:w="100"/>
              <w:left w:type="dxa" w:w="150"/>
              <w:bottom w:type="dxa" w:w="100"/>
              <w:right w:type="dxa" w:w="100"/>
            </w:tcMar>
          </w:tcPr>
          <w:p>
            <w:r>
              <w:rPr>
                <w:b/>
                <w:bCs/>
                <w:color w:val="1F3864"/>
                <w:sz w:val="20"/>
                <w:szCs w:val="20"/>
              </w:rPr>
              <w:t xml:space="preserve">Project:</w:t>
            </w:r>
          </w:p>
        </w:tc>
        <w:tc>
          <w:tcPr>
            <w:tcW w:type="dxa" w:w="7100"/>
            <w:tcBorders>
              <w:top w:val="single" w:color="BFBFBF" w:sz="4"/>
              <w:left w:val="single" w:color="BFBFBF" w:sz="4"/>
              <w:bottom w:val="single" w:color="BFBFBF" w:sz="4"/>
              <w:right w:val="single" w:color="BFBFBF" w:sz="4"/>
            </w:tcBorders>
            <w:tcMar>
              <w:top w:type="dxa" w:w="100"/>
              <w:left w:type="dxa" w:w="150"/>
              <w:bottom w:type="dxa" w:w="100"/>
              <w:right w:type="dxa" w:w="100"/>
            </w:tcMar>
          </w:tcPr>
          <w:p>
            <w:r>
              <w:rPr>
                <w:color w:val="333333"/>
                <w:sz w:val="20"/>
                <w:szCs w:val="20"/>
              </w:rPr>
              <w:t xml:space="preserve">Global Events, Commodities and Currency Markets: Applied Data Analytics &amp; Market Research</w:t>
            </w:r>
          </w:p>
        </w:tc>
      </w:tr>
      <w:tr>
        <w:tc>
          <w:tcPr>
            <w:tcW w:type="dxa" w:w="2200"/>
            <w:tcBorders>
              <w:top w:val="single" w:color="BFBFBF" w:sz="4"/>
              <w:left w:val="single" w:color="BFBFBF" w:sz="4"/>
              <w:bottom w:val="single" w:color="BFBFBF" w:sz="4"/>
              <w:right w:val="single" w:color="BFBFBF" w:sz="4"/>
            </w:tcBorders>
            <w:shd w:fill="DCE6F1" w:color="auto" w:val="clear"/>
            <w:tcMar>
              <w:top w:type="dxa" w:w="100"/>
              <w:left w:type="dxa" w:w="150"/>
              <w:bottom w:type="dxa" w:w="100"/>
              <w:right w:type="dxa" w:w="100"/>
            </w:tcMar>
          </w:tcPr>
          <w:p>
            <w:r>
              <w:rPr>
                <w:b/>
                <w:bCs/>
                <w:color w:val="1F3864"/>
                <w:sz w:val="20"/>
                <w:szCs w:val="20"/>
              </w:rPr>
              <w:t xml:space="preserve">Prepared By:</w:t>
            </w:r>
          </w:p>
        </w:tc>
        <w:tc>
          <w:tcPr>
            <w:tcW w:type="dxa" w:w="7100"/>
            <w:tcBorders>
              <w:top w:val="single" w:color="BFBFBF" w:sz="4"/>
              <w:left w:val="single" w:color="BFBFBF" w:sz="4"/>
              <w:bottom w:val="single" w:color="BFBFBF" w:sz="4"/>
              <w:right w:val="single" w:color="BFBFBF" w:sz="4"/>
            </w:tcBorders>
            <w:tcMar>
              <w:top w:type="dxa" w:w="100"/>
              <w:left w:type="dxa" w:w="150"/>
              <w:bottom w:type="dxa" w:w="100"/>
              <w:right w:type="dxa" w:w="100"/>
            </w:tcMar>
          </w:tcPr>
          <w:p>
            <w:r>
              <w:rPr>
                <w:color w:val="333333"/>
                <w:sz w:val="20"/>
                <w:szCs w:val="20"/>
              </w:rPr>
              <w:t xml:space="preserve">Sandesh H. P. and Tharun</w:t>
            </w:r>
          </w:p>
        </w:tc>
      </w:tr>
      <w:tr>
        <w:tc>
          <w:tcPr>
            <w:tcW w:type="dxa" w:w="2200"/>
            <w:tcBorders>
              <w:top w:val="single" w:color="BFBFBF" w:sz="4"/>
              <w:left w:val="single" w:color="BFBFBF" w:sz="4"/>
              <w:bottom w:val="single" w:color="BFBFBF" w:sz="4"/>
              <w:right w:val="single" w:color="BFBFBF" w:sz="4"/>
            </w:tcBorders>
            <w:shd w:fill="DCE6F1" w:color="auto" w:val="clear"/>
            <w:tcMar>
              <w:top w:type="dxa" w:w="100"/>
              <w:left w:type="dxa" w:w="150"/>
              <w:bottom w:type="dxa" w:w="100"/>
              <w:right w:type="dxa" w:w="100"/>
            </w:tcMar>
          </w:tcPr>
          <w:p>
            <w:r>
              <w:rPr>
                <w:b/>
                <w:bCs/>
                <w:color w:val="1F3864"/>
                <w:sz w:val="20"/>
                <w:szCs w:val="20"/>
              </w:rPr>
              <w:t xml:space="preserve">Report Period:</w:t>
            </w:r>
          </w:p>
        </w:tc>
        <w:tc>
          <w:tcPr>
            <w:tcW w:type="dxa" w:w="7100"/>
            <w:tcBorders>
              <w:top w:val="single" w:color="BFBFBF" w:sz="4"/>
              <w:left w:val="single" w:color="BFBFBF" w:sz="4"/>
              <w:bottom w:val="single" w:color="BFBFBF" w:sz="4"/>
              <w:right w:val="single" w:color="BFBFBF" w:sz="4"/>
            </w:tcBorders>
            <w:tcMar>
              <w:top w:type="dxa" w:w="100"/>
              <w:left w:type="dxa" w:w="150"/>
              <w:bottom w:type="dxa" w:w="100"/>
              <w:right w:type="dxa" w:w="100"/>
            </w:tcMar>
          </w:tcPr>
          <w:p>
            <w:r>
              <w:rPr>
                <w:color w:val="333333"/>
                <w:sz w:val="20"/>
                <w:szCs w:val="20"/>
              </w:rPr>
              <w:t xml:space="preserve">01 June 2026 – 15 July 2026</w:t>
            </w:r>
          </w:p>
        </w:tc>
      </w:tr>
    </w:tbl>
    <w:p>
      <w:pPr>
        <w:pStyle w:val="Heading1"/>
        <w:pBdr>
          <w:bottom w:val="single" w:color="1F3864" w:sz="6" w:space="4"/>
        </w:pBdr>
        <w:spacing w:after="160" w:before="320"/>
      </w:pPr>
      <w:r>
        <w:rPr>
          <w:b/>
          <w:bCs/>
          <w:color w:val="1F3864"/>
          <w:sz w:val="26"/>
          <w:szCs w:val="26"/>
        </w:rPr>
        <w:t xml:space="preserve">1. Summary</w:t>
      </w:r>
    </w:p>
    <w:p>
      <w:pPr>
        <w:spacing w:after="160"/>
      </w:pPr>
      <w:r>
        <w:rPr>
          <w:i w:val="false"/>
          <w:iCs w:val="false"/>
          <w:color w:val="333333"/>
          <w:sz w:val="21"/>
          <w:szCs w:val="21"/>
        </w:rPr>
        <w:t xml:space="preserve">This Performance Report summarizes the current status, progress, and key performance indicators (KPIs) for the project. The project leverages a Data Pipeline methodology to analyze Brent Oil, Gold and Silver, the SWIFT Tracker, and the USDG Stablecoin, alongside the current geopolitical conflict between the United States and Iran and the involvement of the BRICS bloc. The report covers project scope adherence, schedule, resource utilization, deliverables, risks, and other relevant areas.</w:t>
      </w:r>
    </w:p>
    <w:p>
      <w:pPr>
        <w:pStyle w:val="Heading1"/>
        <w:pBdr>
          <w:bottom w:val="single" w:color="1F3864" w:sz="6" w:space="4"/>
        </w:pBdr>
        <w:spacing w:after="160" w:before="320"/>
      </w:pPr>
      <w:r>
        <w:rPr>
          <w:b/>
          <w:bCs/>
          <w:color w:val="1F3864"/>
          <w:sz w:val="26"/>
          <w:szCs w:val="26"/>
        </w:rPr>
        <w:t xml:space="preserve">2. Project Scope and Objectives</w:t>
      </w:r>
    </w:p>
    <w:p>
      <w:pPr>
        <w:spacing w:after="80"/>
      </w:pPr>
      <w:r>
        <w:rPr>
          <w:b/>
          <w:bCs/>
          <w:color w:val="1F3864"/>
          <w:sz w:val="22"/>
          <w:szCs w:val="22"/>
        </w:rPr>
        <w:t xml:space="preserve">Scope</w:t>
      </w:r>
    </w:p>
    <w:p>
      <w:pPr>
        <w:spacing w:after="160"/>
      </w:pPr>
      <w:r>
        <w:rPr>
          <w:i w:val="false"/>
          <w:iCs w:val="false"/>
          <w:color w:val="333333"/>
          <w:sz w:val="21"/>
          <w:szCs w:val="21"/>
        </w:rPr>
        <w:t xml:space="preserve">Analyze and compare global commodity, currency, and geopolitical event data using a Data Pipeline methodology.</w:t>
      </w:r>
    </w:p>
    <w:p>
      <w:pPr>
        <w:spacing w:after="80"/>
      </w:pPr>
      <w:r>
        <w:rPr>
          <w:b/>
          <w:bCs/>
          <w:color w:val="1F3864"/>
          <w:sz w:val="22"/>
          <w:szCs w:val="22"/>
        </w:rPr>
        <w:t xml:space="preserve">Objectives</w:t>
      </w:r>
    </w:p>
    <w:p>
      <w:pPr>
        <w:pStyle w:val="ListParagraph"/>
        <w:numPr>
          <w:ilvl w:val="0"/>
          <w:numId w:val="1"/>
        </w:numPr>
        <w:spacing w:after="80"/>
      </w:pPr>
      <w:r>
        <w:rPr>
          <w:color w:val="333333"/>
          <w:sz w:val="21"/>
          <w:szCs w:val="21"/>
        </w:rPr>
        <w:t xml:space="preserve">Collect relevant data from reliable sources.</w:t>
      </w:r>
    </w:p>
    <w:p>
      <w:pPr>
        <w:pStyle w:val="ListParagraph"/>
        <w:numPr>
          <w:ilvl w:val="0"/>
          <w:numId w:val="1"/>
        </w:numPr>
        <w:spacing w:after="80"/>
      </w:pPr>
      <w:r>
        <w:rPr>
          <w:color w:val="333333"/>
          <w:sz w:val="21"/>
          <w:szCs w:val="21"/>
        </w:rPr>
        <w:t xml:space="preserve">Cleanse, transform, and integrate data into a standardized pipeline.</w:t>
      </w:r>
    </w:p>
    <w:p>
      <w:pPr>
        <w:pStyle w:val="ListParagraph"/>
        <w:numPr>
          <w:ilvl w:val="0"/>
          <w:numId w:val="1"/>
        </w:numPr>
        <w:spacing w:after="80"/>
      </w:pPr>
      <w:r>
        <w:rPr>
          <w:color w:val="333333"/>
          <w:sz w:val="21"/>
          <w:szCs w:val="21"/>
        </w:rPr>
        <w:t xml:space="preserve">Generate comparative analytics across commodities, currencies, and geopolitical variables.</w:t>
      </w:r>
    </w:p>
    <w:p>
      <w:pPr>
        <w:pStyle w:val="ListParagraph"/>
        <w:numPr>
          <w:ilvl w:val="0"/>
          <w:numId w:val="1"/>
        </w:numPr>
        <w:spacing w:after="80"/>
      </w:pPr>
      <w:r>
        <w:rPr>
          <w:color w:val="333333"/>
          <w:sz w:val="21"/>
          <w:szCs w:val="21"/>
        </w:rPr>
        <w:t xml:space="preserve">Deliver actionable insights for stakeholders.</w:t>
      </w:r>
    </w:p>
    <w:p>
      <w:pPr>
        <w:pStyle w:val="Heading1"/>
        <w:pBdr>
          <w:bottom w:val="single" w:color="1F3864" w:sz="6" w:space="4"/>
        </w:pBdr>
        <w:spacing w:after="160" w:before="320"/>
      </w:pPr>
      <w:r>
        <w:rPr>
          <w:b/>
          <w:bCs/>
          <w:color w:val="1F3864"/>
          <w:sz w:val="26"/>
          <w:szCs w:val="26"/>
        </w:rPr>
        <w:t xml:space="preserve">3. Performance Analysis</w:t>
      </w:r>
    </w:p>
    <w:p>
      <w:pPr>
        <w:spacing w:after="80"/>
      </w:pPr>
      <w:r>
        <w:rPr>
          <w:b/>
          <w:bCs/>
          <w:color w:val="1F3864"/>
          <w:sz w:val="22"/>
          <w:szCs w:val="22"/>
        </w:rPr>
        <w:t xml:space="preserve">A. Work Completed This Period</w:t>
      </w:r>
    </w:p>
    <w:p>
      <w:pPr>
        <w:pStyle w:val="ListParagraph"/>
        <w:numPr>
          <w:ilvl w:val="0"/>
          <w:numId w:val="1"/>
        </w:numPr>
        <w:spacing w:after="80"/>
      </w:pPr>
      <w:r>
        <w:rPr>
          <w:color w:val="333333"/>
          <w:sz w:val="21"/>
          <w:szCs w:val="21"/>
        </w:rPr>
        <w:t xml:space="preserve">Defined project roles and responsibilities.</w:t>
      </w:r>
    </w:p>
    <w:p>
      <w:pPr>
        <w:pStyle w:val="ListParagraph"/>
        <w:numPr>
          <w:ilvl w:val="0"/>
          <w:numId w:val="1"/>
        </w:numPr>
        <w:spacing w:after="80"/>
      </w:pPr>
      <w:r>
        <w:rPr>
          <w:color w:val="333333"/>
          <w:sz w:val="21"/>
          <w:szCs w:val="21"/>
        </w:rPr>
        <w:t xml:space="preserve">Finalized the Data Pipeline architecture.</w:t>
      </w:r>
    </w:p>
    <w:p>
      <w:pPr>
        <w:pStyle w:val="ListParagraph"/>
        <w:numPr>
          <w:ilvl w:val="0"/>
          <w:numId w:val="1"/>
        </w:numPr>
        <w:spacing w:after="80"/>
      </w:pPr>
      <w:r>
        <w:rPr>
          <w:color w:val="333333"/>
          <w:sz w:val="21"/>
          <w:szCs w:val="21"/>
        </w:rPr>
        <w:t xml:space="preserve">Extracted and cleaned data.</w:t>
      </w:r>
    </w:p>
    <w:p>
      <w:pPr>
        <w:pStyle w:val="ListParagraph"/>
        <w:numPr>
          <w:ilvl w:val="0"/>
          <w:numId w:val="1"/>
        </w:numPr>
        <w:spacing w:after="80"/>
      </w:pPr>
      <w:r>
        <w:rPr>
          <w:color w:val="333333"/>
          <w:sz w:val="21"/>
          <w:szCs w:val="21"/>
        </w:rPr>
        <w:t xml:space="preserve">Conducted preliminary comparative analysis.</w:t>
      </w:r>
    </w:p>
    <w:p>
      <w:pPr>
        <w:pStyle w:val="ListParagraph"/>
        <w:numPr>
          <w:ilvl w:val="0"/>
          <w:numId w:val="1"/>
        </w:numPr>
        <w:spacing w:after="80"/>
      </w:pPr>
      <w:r>
        <w:rPr>
          <w:color w:val="333333"/>
          <w:sz w:val="21"/>
          <w:szCs w:val="21"/>
        </w:rPr>
        <w:t xml:space="preserve">Drafted initial data visualizations (charts, tables).</w:t>
      </w:r>
    </w:p>
    <w:p>
      <w:pPr>
        <w:spacing w:after="80" w:before="200"/>
      </w:pPr>
      <w:r>
        <w:rPr>
          <w:b/>
          <w:bCs/>
          <w:color w:val="1F3864"/>
          <w:sz w:val="22"/>
          <w:szCs w:val="22"/>
        </w:rPr>
        <w:t xml:space="preserve">B. Work Planned for Next Period</w:t>
      </w:r>
    </w:p>
    <w:p>
      <w:pPr>
        <w:pStyle w:val="ListParagraph"/>
        <w:numPr>
          <w:ilvl w:val="0"/>
          <w:numId w:val="1"/>
        </w:numPr>
        <w:spacing w:after="80"/>
      </w:pPr>
      <w:r>
        <w:rPr>
          <w:color w:val="333333"/>
          <w:sz w:val="21"/>
          <w:szCs w:val="21"/>
        </w:rPr>
        <w:t xml:space="preserve">Deepen analysis with geopolitical events and variables (e.g., value, volume, country-specific trends).</w:t>
      </w:r>
    </w:p>
    <w:p>
      <w:pPr>
        <w:pStyle w:val="ListParagraph"/>
        <w:numPr>
          <w:ilvl w:val="0"/>
          <w:numId w:val="1"/>
        </w:numPr>
        <w:spacing w:after="80"/>
      </w:pPr>
      <w:r>
        <w:rPr>
          <w:color w:val="333333"/>
          <w:sz w:val="21"/>
          <w:szCs w:val="21"/>
        </w:rPr>
        <w:t xml:space="preserve">Integrate supply chain traceability features into the pipeline.</w:t>
      </w:r>
    </w:p>
    <w:p>
      <w:pPr>
        <w:pStyle w:val="ListParagraph"/>
        <w:numPr>
          <w:ilvl w:val="0"/>
          <w:numId w:val="1"/>
        </w:numPr>
        <w:spacing w:after="80"/>
      </w:pPr>
      <w:r>
        <w:rPr>
          <w:color w:val="333333"/>
          <w:sz w:val="21"/>
          <w:szCs w:val="21"/>
        </w:rPr>
        <w:t xml:space="preserve">Prepare draft report and recommendations.</w:t>
      </w:r>
    </w:p>
    <w:p>
      <w:pPr>
        <w:pStyle w:val="ListParagraph"/>
        <w:numPr>
          <w:ilvl w:val="0"/>
          <w:numId w:val="1"/>
        </w:numPr>
        <w:spacing w:after="80"/>
      </w:pPr>
      <w:r>
        <w:rPr>
          <w:color w:val="333333"/>
          <w:sz w:val="21"/>
          <w:szCs w:val="21"/>
        </w:rPr>
        <w:t xml:space="preserve">Conduct stakeholder review and feedback sessions.</w:t>
      </w:r>
    </w:p>
    <w:p>
      <w:pPr>
        <w:spacing w:after="80" w:before="200"/>
      </w:pPr>
      <w:r>
        <w:rPr>
          <w:b/>
          <w:bCs/>
          <w:color w:val="1F3864"/>
          <w:sz w:val="22"/>
          <w:szCs w:val="22"/>
        </w:rPr>
        <w:t xml:space="preserve">C. Key Accomplishments</w:t>
      </w:r>
    </w:p>
    <w:p>
      <w:pPr>
        <w:pStyle w:val="ListParagraph"/>
        <w:numPr>
          <w:ilvl w:val="0"/>
          <w:numId w:val="1"/>
        </w:numPr>
        <w:spacing w:after="80"/>
      </w:pPr>
      <w:r>
        <w:rPr>
          <w:color w:val="333333"/>
          <w:sz w:val="21"/>
          <w:szCs w:val="21"/>
        </w:rPr>
        <w:t xml:space="preserve">Established a repeatable, automated data extraction and transformation process.</w:t>
      </w:r>
    </w:p>
    <w:p>
      <w:pPr>
        <w:pStyle w:val="ListParagraph"/>
        <w:numPr>
          <w:ilvl w:val="0"/>
          <w:numId w:val="1"/>
        </w:numPr>
        <w:spacing w:after="80"/>
      </w:pPr>
      <w:r>
        <w:rPr>
          <w:color w:val="333333"/>
          <w:sz w:val="21"/>
          <w:szCs w:val="21"/>
        </w:rPr>
        <w:t xml:space="preserve">Identified major patterns and discrepancies in reported exports.</w:t>
      </w:r>
    </w:p>
    <w:p>
      <w:pPr>
        <w:pStyle w:val="ListParagraph"/>
        <w:numPr>
          <w:ilvl w:val="0"/>
          <w:numId w:val="1"/>
        </w:numPr>
        <w:spacing w:after="80"/>
      </w:pPr>
      <w:r>
        <w:rPr>
          <w:color w:val="333333"/>
          <w:sz w:val="21"/>
          <w:szCs w:val="21"/>
        </w:rPr>
        <w:t xml:space="preserve">Ensured data quality and traceability through pipeline checkpoints.</w:t>
      </w:r>
    </w:p>
    <w:p>
      <w:pPr>
        <w:pStyle w:val="Heading1"/>
        <w:pBdr>
          <w:bottom w:val="single" w:color="1F3864" w:sz="6" w:space="4"/>
        </w:pBdr>
        <w:spacing w:after="160" w:before="320"/>
      </w:pPr>
      <w:r>
        <w:rPr>
          <w:b/>
          <w:bCs/>
          <w:color w:val="1F3864"/>
          <w:sz w:val="26"/>
          <w:szCs w:val="26"/>
        </w:rPr>
        <w:t xml:space="preserve">4. Schedule Performance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100"/>
        <w:gridCol w:w="36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Milestone</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Planned Date</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Actual Date</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Status</w:t>
            </w:r>
          </w:p>
        </w:tc>
        <w:tc>
          <w:tcPr>
            <w:tcW w:type="dxa" w:w="36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Notes</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Project Kickoff</w:t>
            </w:r>
          </w:p>
        </w:tc>
        <w:tc>
          <w:tcPr>
            <w:tcW w:type="dxa" w:w="1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01 June 2026</w:t>
            </w:r>
          </w:p>
        </w:tc>
        <w:tc>
          <w:tcPr>
            <w:tcW w:type="dxa" w:w="1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01 June 2026</w:t>
            </w:r>
          </w:p>
        </w:tc>
        <w:tc>
          <w:tcPr>
            <w:tcW w:type="dxa" w:w="11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Completed</w:t>
            </w:r>
          </w:p>
        </w:tc>
        <w:tc>
          <w:tcPr>
            <w:tcW w:type="dxa" w:w="36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Project objectives, scope, datasets, and team responsibilities finalized.</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bCs/>
                <w:color w:val="333333"/>
                <w:sz w:val="19"/>
                <w:szCs w:val="19"/>
              </w:rPr>
              <w:t xml:space="preserve">Data Pipeline Design</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05 June 2026</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05 June 2026</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Completed</w:t>
            </w:r>
          </w:p>
        </w:tc>
        <w:tc>
          <w:tcPr>
            <w:tcW w:type="dxa" w:w="36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Designed the data pipeline for data collection, preprocessing, and integration.</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Data Extraction &amp; Cleaning</w:t>
            </w:r>
          </w:p>
        </w:tc>
        <w:tc>
          <w:tcPr>
            <w:tcW w:type="dxa" w:w="1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15 June 2026</w:t>
            </w:r>
          </w:p>
        </w:tc>
        <w:tc>
          <w:tcPr>
            <w:tcW w:type="dxa" w:w="1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15 June 2026</w:t>
            </w:r>
          </w:p>
        </w:tc>
        <w:tc>
          <w:tcPr>
            <w:tcW w:type="dxa" w:w="11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Completed</w:t>
            </w:r>
          </w:p>
        </w:tc>
        <w:tc>
          <w:tcPr>
            <w:tcW w:type="dxa" w:w="36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Collected Brent Oil, Gold, Silver, SWIFT Tracker, and USDG datasets. Cleaned missing values, standardized formats, and prepared data for analysis.</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bCs/>
                <w:color w:val="333333"/>
                <w:sz w:val="19"/>
                <w:szCs w:val="19"/>
              </w:rPr>
              <w:t xml:space="preserve">Preliminary Analysis</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25 June 2026</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26 June 2026</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Completed</w:t>
            </w:r>
          </w:p>
        </w:tc>
        <w:tc>
          <w:tcPr>
            <w:tcW w:type="dxa" w:w="36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Performed exploratory data analysis (EDA), generated descriptive statistics, and created initial visualizations to identify trends.</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In-depth Analysis &amp; Reporting</w:t>
            </w:r>
          </w:p>
        </w:tc>
        <w:tc>
          <w:tcPr>
            <w:tcW w:type="dxa" w:w="1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08 July 2026</w:t>
            </w:r>
          </w:p>
        </w:tc>
        <w:tc>
          <w:tcPr>
            <w:tcW w:type="dxa" w:w="1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10 July 2026</w:t>
            </w:r>
          </w:p>
        </w:tc>
        <w:tc>
          <w:tcPr>
            <w:tcW w:type="dxa" w:w="11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Completed</w:t>
            </w:r>
          </w:p>
        </w:tc>
        <w:tc>
          <w:tcPr>
            <w:tcW w:type="dxa" w:w="36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Conducted detailed analysis, interpreted findings, developed dashboards and charts, and prepared the final report with recommendations.</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bCs/>
                <w:color w:val="333333"/>
                <w:sz w:val="19"/>
                <w:szCs w:val="19"/>
              </w:rPr>
              <w:t xml:space="preserve">Final Report Submission</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15 July 2026</w:t>
            </w:r>
          </w:p>
        </w:tc>
        <w:tc>
          <w:tcPr>
            <w:tcW w:type="dxa" w:w="1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15 July 2026</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Completed</w:t>
            </w:r>
          </w:p>
        </w:tc>
        <w:tc>
          <w:tcPr>
            <w:tcW w:type="dxa" w:w="36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Submitted the complete report, presentation, supporting code, and project documentation.</w:t>
            </w:r>
          </w:p>
        </w:tc>
      </w:tr>
    </w:tbl>
    <w:p>
      <w:pPr>
        <w:pStyle w:val="Heading1"/>
        <w:pBdr>
          <w:bottom w:val="single" w:color="1F3864" w:sz="6" w:space="4"/>
        </w:pBdr>
        <w:spacing w:after="160" w:before="320"/>
      </w:pPr>
      <w:r>
        <w:rPr>
          <w:b/>
          <w:bCs/>
          <w:color w:val="1F3864"/>
          <w:sz w:val="26"/>
          <w:szCs w:val="26"/>
        </w:rPr>
        <w:t xml:space="preserve">5. Budget and Resource Utilization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1750"/>
        <w:gridCol w:w="1750"/>
        <w:gridCol w:w="175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Resource</w:t>
            </w:r>
          </w:p>
        </w:tc>
        <w:tc>
          <w:tcPr>
            <w:tcW w:type="dxa" w:w="175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Planned (hrs)</w:t>
            </w:r>
          </w:p>
        </w:tc>
        <w:tc>
          <w:tcPr>
            <w:tcW w:type="dxa" w:w="175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Actual (hrs)</w:t>
            </w:r>
          </w:p>
        </w:tc>
        <w:tc>
          <w:tcPr>
            <w:tcW w:type="dxa" w:w="175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Variance</w:t>
            </w:r>
          </w:p>
        </w:tc>
        <w:tc>
          <w:tcPr>
            <w:tcW w:type="dxa" w:w="175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Status / %</w:t>
            </w:r>
          </w:p>
        </w:tc>
      </w:tr>
      <w:tr>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Data Analysts</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80</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82</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+2 hrs</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Completed – 102.5%</w:t>
            </w:r>
          </w:p>
        </w:tc>
      </w:tr>
      <w:tr>
        <w:tc>
          <w:tcPr>
            <w:tcW w:type="dxa" w:w="2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bCs/>
                <w:color w:val="333333"/>
                <w:sz w:val="19"/>
                <w:szCs w:val="19"/>
              </w:rPr>
              <w:t xml:space="preserve">Data Researchers</w:t>
            </w:r>
          </w:p>
        </w:tc>
        <w:tc>
          <w:tcPr>
            <w:tcW w:type="dxa" w:w="175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center"/>
            </w:pPr>
            <w:r>
              <w:rPr>
                <w:b w:val="false"/>
                <w:bCs w:val="false"/>
                <w:color w:val="333333"/>
                <w:sz w:val="19"/>
                <w:szCs w:val="19"/>
              </w:rPr>
              <w:t xml:space="preserve">60</w:t>
            </w:r>
          </w:p>
        </w:tc>
        <w:tc>
          <w:tcPr>
            <w:tcW w:type="dxa" w:w="175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center"/>
            </w:pPr>
            <w:r>
              <w:rPr>
                <w:b w:val="false"/>
                <w:bCs w:val="false"/>
                <w:color w:val="333333"/>
                <w:sz w:val="19"/>
                <w:szCs w:val="19"/>
              </w:rPr>
              <w:t xml:space="preserve">58</w:t>
            </w:r>
          </w:p>
        </w:tc>
        <w:tc>
          <w:tcPr>
            <w:tcW w:type="dxa" w:w="175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center"/>
            </w:pPr>
            <w:r>
              <w:rPr>
                <w:b w:val="false"/>
                <w:bCs w:val="false"/>
                <w:color w:val="333333"/>
                <w:sz w:val="19"/>
                <w:szCs w:val="19"/>
              </w:rPr>
              <w:t xml:space="preserve">-2 hrs</w:t>
            </w:r>
          </w:p>
        </w:tc>
        <w:tc>
          <w:tcPr>
            <w:tcW w:type="dxa" w:w="175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center"/>
            </w:pPr>
            <w:r>
              <w:rPr>
                <w:b w:val="false"/>
                <w:bCs w:val="false"/>
                <w:color w:val="333333"/>
                <w:sz w:val="19"/>
                <w:szCs w:val="19"/>
              </w:rPr>
              <w:t xml:space="preserve">Completed – 96.7%</w:t>
            </w:r>
          </w:p>
        </w:tc>
      </w:tr>
      <w:tr>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Software Tools</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40</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40</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0 hrs</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val="false"/>
                <w:bCs w:val="false"/>
                <w:color w:val="333333"/>
                <w:sz w:val="19"/>
                <w:szCs w:val="19"/>
              </w:rPr>
              <w:t xml:space="preserve">Completed – 100%</w:t>
            </w:r>
          </w:p>
        </w:tc>
      </w:tr>
      <w:tr>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Total</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bCs/>
                <w:color w:val="333333"/>
                <w:sz w:val="19"/>
                <w:szCs w:val="19"/>
              </w:rPr>
              <w:t xml:space="preserve">180</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bCs/>
                <w:color w:val="333333"/>
                <w:sz w:val="19"/>
                <w:szCs w:val="19"/>
              </w:rPr>
              <w:t xml:space="preserve">180</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bCs/>
                <w:color w:val="333333"/>
                <w:sz w:val="19"/>
                <w:szCs w:val="19"/>
              </w:rPr>
              <w:t xml:space="preserve">0 hrs</w:t>
            </w:r>
          </w:p>
        </w:tc>
        <w:tc>
          <w:tcPr>
            <w:tcW w:type="dxa" w:w="175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center"/>
            </w:pPr>
            <w:r>
              <w:rPr>
                <w:b/>
                <w:bCs/>
                <w:color w:val="333333"/>
                <w:sz w:val="19"/>
                <w:szCs w:val="19"/>
              </w:rPr>
              <w:t xml:space="preserve">Completed – 100%</w:t>
            </w:r>
          </w:p>
        </w:tc>
      </w:tr>
    </w:tbl>
    <w:p>
      <w:pPr>
        <w:pStyle w:val="Heading1"/>
        <w:pBdr>
          <w:bottom w:val="single" w:color="1F3864" w:sz="6" w:space="4"/>
        </w:pBdr>
        <w:spacing w:after="160" w:before="320"/>
      </w:pPr>
      <w:r>
        <w:rPr>
          <w:b/>
          <w:bCs/>
          <w:color w:val="1F3864"/>
          <w:sz w:val="26"/>
          <w:szCs w:val="26"/>
        </w:rPr>
        <w:t xml:space="preserve">6. Quality and Technical Performance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Quality Indicator</w:t>
            </w:r>
          </w:p>
        </w:tc>
        <w:tc>
          <w:tcPr>
            <w:tcW w:type="dxa" w:w="70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Details</w:t>
            </w:r>
          </w:p>
        </w:tc>
      </w:tr>
      <w:tr>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Data Accuracy</w:t>
            </w:r>
          </w:p>
        </w:tc>
        <w:tc>
          <w:tcPr>
            <w:tcW w:type="dxa" w:w="70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Achieved high data accuracy through data validation, removal of duplicates, handling missing values, and consistency checks during preprocessing.</w:t>
            </w:r>
          </w:p>
        </w:tc>
      </w:tr>
      <w:tr>
        <w:tc>
          <w:tcPr>
            <w:tcW w:type="dxa" w:w="2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bCs/>
                <w:color w:val="333333"/>
                <w:sz w:val="19"/>
                <w:szCs w:val="19"/>
              </w:rPr>
              <w:t xml:space="preserve">Pipeline Uptime</w:t>
            </w:r>
          </w:p>
        </w:tc>
        <w:tc>
          <w:tcPr>
            <w:tcW w:type="dxa" w:w="7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The data pipeline operated reliably throughout the project, ensuring smooth data extraction, transformation, analysis, and visualization with no major interruptions.</w:t>
            </w:r>
          </w:p>
        </w:tc>
      </w:tr>
      <w:tr>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Compliance</w:t>
            </w:r>
          </w:p>
        </w:tc>
        <w:tc>
          <w:tcPr>
            <w:tcW w:type="dxa" w:w="70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All data was collected from reliable public sources and handled in accordance with academic standards and data source requirements.</w:t>
            </w:r>
          </w:p>
        </w:tc>
      </w:tr>
    </w:tbl>
    <w:p>
      <w:pPr>
        <w:pStyle w:val="Heading1"/>
        <w:pBdr>
          <w:bottom w:val="single" w:color="1F3864" w:sz="6" w:space="4"/>
        </w:pBdr>
        <w:spacing w:after="160" w:before="320"/>
      </w:pPr>
      <w:r>
        <w:rPr>
          <w:b/>
          <w:bCs/>
          <w:color w:val="1F3864"/>
          <w:sz w:val="26"/>
          <w:szCs w:val="26"/>
        </w:rPr>
        <w:t xml:space="preserve">7. Risks and Issues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Risk / Issue</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Status</w:t>
            </w:r>
          </w:p>
        </w:tc>
        <w:tc>
          <w:tcPr>
            <w:tcW w:type="dxa" w:w="55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Mitigation Action</w:t>
            </w:r>
          </w:p>
        </w:tc>
      </w:tr>
      <w:tr>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Data Gaps</w:t>
            </w:r>
          </w:p>
        </w:tc>
        <w:tc>
          <w:tcPr>
            <w:tcW w:type="dxa" w:w="15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Resolved</w:t>
            </w:r>
          </w:p>
        </w:tc>
        <w:tc>
          <w:tcPr>
            <w:tcW w:type="dxa" w:w="55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Missing values and incomplete records were identified during preprocessing and handled through data cleaning, validation, and appropriate imputation techniques.</w:t>
            </w:r>
          </w:p>
        </w:tc>
      </w:tr>
      <w:tr>
        <w:tc>
          <w:tcPr>
            <w:tcW w:type="dxa" w:w="23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bCs/>
                <w:color w:val="333333"/>
                <w:sz w:val="19"/>
                <w:szCs w:val="19"/>
              </w:rPr>
              <w:t xml:space="preserve">Pipeline Integration Bugs</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Resolved</w:t>
            </w:r>
          </w:p>
        </w:tc>
        <w:tc>
          <w:tcPr>
            <w:tcW w:type="dxa" w:w="55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The data pipeline was thoroughly tested, Python scripts were debugged, and each processing stage was verified to ensure smooth data flow.</w:t>
            </w:r>
          </w:p>
        </w:tc>
      </w:tr>
      <w:tr>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Stakeholder Feedback Delays</w:t>
            </w:r>
          </w:p>
        </w:tc>
        <w:tc>
          <w:tcPr>
            <w:tcW w:type="dxa" w:w="15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Minor Impact</w:t>
            </w:r>
          </w:p>
        </w:tc>
        <w:tc>
          <w:tcPr>
            <w:tcW w:type="dxa" w:w="55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Regular team meetings and continuous communication ensured feedback was incorporated promptly without affecting the final project submission.</w:t>
            </w:r>
          </w:p>
        </w:tc>
      </w:tr>
    </w:tbl>
    <w:p>
      <w:pPr>
        <w:pStyle w:val="Heading1"/>
        <w:pBdr>
          <w:bottom w:val="single" w:color="1F3864" w:sz="6" w:space="4"/>
        </w:pBdr>
        <w:spacing w:after="160" w:before="320"/>
      </w:pPr>
      <w:r>
        <w:rPr>
          <w:b/>
          <w:bCs/>
          <w:color w:val="1F3864"/>
          <w:sz w:val="26"/>
          <w:szCs w:val="26"/>
        </w:rPr>
        <w:t xml:space="preserve">8. Variance Analysis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Area</w:t>
            </w:r>
          </w:p>
        </w:tc>
        <w:tc>
          <w:tcPr>
            <w:tcW w:type="dxa" w:w="77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vAlign w:val="center"/>
          </w:tcPr>
          <w:p>
            <w:r>
              <w:rPr>
                <w:b/>
                <w:bCs/>
                <w:color w:val="FFFFFF"/>
                <w:sz w:val="19"/>
                <w:szCs w:val="19"/>
              </w:rPr>
              <w:t xml:space="preserve">Analysis</w:t>
            </w:r>
          </w:p>
        </w:tc>
      </w:tr>
      <w:tr>
        <w:tc>
          <w:tcPr>
            <w:tcW w:type="dxa" w:w="16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bCs/>
                <w:color w:val="333333"/>
                <w:sz w:val="19"/>
                <w:szCs w:val="19"/>
              </w:rPr>
              <w:t xml:space="preserve">Schedule</w:t>
            </w:r>
          </w:p>
        </w:tc>
        <w:tc>
          <w:tcPr>
            <w:tcW w:type="dxa" w:w="7700"/>
            <w:tcBorders>
              <w:top w:val="single" w:color="BFBFBF" w:sz="4"/>
              <w:left w:val="single" w:color="BFBFBF" w:sz="4"/>
              <w:bottom w:val="single" w:color="BFBFBF" w:sz="4"/>
              <w:right w:val="single" w:color="BFBFBF" w:sz="4"/>
            </w:tcBorders>
            <w:tcMar>
              <w:top w:type="dxa" w:w="100"/>
              <w:left w:type="dxa" w:w="100"/>
              <w:bottom w:type="dxa" w:w="100"/>
              <w:right w:type="dxa" w:w="100"/>
            </w:tcMar>
            <w:vAlign w:val="center"/>
          </w:tcPr>
          <w:p>
            <w:pPr>
              <w:jc w:val="left"/>
            </w:pPr>
            <w:r>
              <w:rPr>
                <w:b w:val="false"/>
                <w:bCs w:val="false"/>
                <w:color w:val="333333"/>
                <w:sz w:val="19"/>
                <w:szCs w:val="19"/>
              </w:rPr>
              <w:t xml:space="preserve">The project was completed within the planned timeline. Minor delays during data analysis were effectively managed through task prioritization and teamwork, ensuring the final submission deadline was met.</w:t>
            </w:r>
          </w:p>
        </w:tc>
      </w:tr>
      <w:tr>
        <w:tc>
          <w:tcPr>
            <w:tcW w:type="dxa" w:w="16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bCs/>
                <w:color w:val="333333"/>
                <w:sz w:val="19"/>
                <w:szCs w:val="19"/>
              </w:rPr>
              <w:t xml:space="preserve">Budget</w:t>
            </w:r>
          </w:p>
        </w:tc>
        <w:tc>
          <w:tcPr>
            <w:tcW w:type="dxa" w:w="77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vAlign w:val="center"/>
          </w:tcPr>
          <w:p>
            <w:pPr>
              <w:jc w:val="left"/>
            </w:pPr>
            <w:r>
              <w:rPr>
                <w:b w:val="false"/>
                <w:bCs w:val="false"/>
                <w:color w:val="333333"/>
                <w:sz w:val="19"/>
                <w:szCs w:val="19"/>
              </w:rPr>
              <w:t xml:space="preserve">The project remained within the planned resource allocation. Slight variations in effort between data analysis and research activities were balanced, resulting in no overall impact on project completion.</w:t>
            </w:r>
          </w:p>
        </w:tc>
      </w:tr>
    </w:tbl>
    <w:p>
      <w:pPr>
        <w:pStyle w:val="Heading1"/>
        <w:pBdr>
          <w:bottom w:val="single" w:color="1F3864" w:sz="6" w:space="4"/>
        </w:pBdr>
        <w:spacing w:after="160" w:before="320"/>
      </w:pPr>
      <w:r>
        <w:rPr>
          <w:b/>
          <w:bCs/>
          <w:color w:val="1F3864"/>
          <w:sz w:val="26"/>
          <w:szCs w:val="26"/>
        </w:rPr>
        <w:t xml:space="preserve">9. Forecast</w:t>
      </w:r>
    </w:p>
    <w:p>
      <w:pPr>
        <w:spacing w:after="160"/>
      </w:pPr>
      <w:r>
        <w:rPr>
          <w:i w:val="false"/>
          <w:iCs w:val="false"/>
          <w:color w:val="333333"/>
          <w:sz w:val="21"/>
          <w:szCs w:val="21"/>
        </w:rPr>
        <w:t xml:space="preserve">The project successfully established a reliable data pipeline for analyzing global commodities and currency market trends. Future enhancements may include integrating real-time data sources, expanding the range of financial indicators, and incorporating advanced machine learning models to improve predictive analytics. These improvements will provide more accurate insights and support better decision-making for business stakeholders.</w:t>
      </w:r>
    </w:p>
    <w:p>
      <w:pPr>
        <w:pStyle w:val="Heading1"/>
        <w:pBdr>
          <w:bottom w:val="single" w:color="1F3864" w:sz="6" w:space="4"/>
        </w:pBdr>
        <w:spacing w:after="160" w:before="320"/>
      </w:pPr>
      <w:r>
        <w:rPr>
          <w:b/>
          <w:bCs/>
          <w:color w:val="1F3864"/>
          <w:sz w:val="26"/>
          <w:szCs w:val="26"/>
        </w:rPr>
        <w:t xml:space="preserve">10. Recommendations</w:t>
      </w:r>
    </w:p>
    <w:p>
      <w:pPr>
        <w:pStyle w:val="ListParagraph"/>
        <w:numPr>
          <w:ilvl w:val="0"/>
          <w:numId w:val="1"/>
        </w:numPr>
        <w:spacing w:after="80"/>
      </w:pPr>
      <w:r>
        <w:rPr>
          <w:color w:val="333333"/>
          <w:sz w:val="21"/>
          <w:szCs w:val="21"/>
        </w:rPr>
        <w:t xml:space="preserve">Integrate real-time APIs to enable continuous data collection and monitoring.</w:t>
      </w:r>
    </w:p>
    <w:p>
      <w:pPr>
        <w:pStyle w:val="ListParagraph"/>
        <w:numPr>
          <w:ilvl w:val="0"/>
          <w:numId w:val="1"/>
        </w:numPr>
        <w:spacing w:after="80"/>
      </w:pPr>
      <w:r>
        <w:rPr>
          <w:color w:val="333333"/>
          <w:sz w:val="21"/>
          <w:szCs w:val="21"/>
        </w:rPr>
        <w:t xml:space="preserve">Enhance the data pipeline by automating data validation and quality checks.</w:t>
      </w:r>
    </w:p>
    <w:p>
      <w:pPr>
        <w:pStyle w:val="ListParagraph"/>
        <w:numPr>
          <w:ilvl w:val="0"/>
          <w:numId w:val="1"/>
        </w:numPr>
        <w:spacing w:after="80"/>
      </w:pPr>
      <w:r>
        <w:rPr>
          <w:color w:val="333333"/>
          <w:sz w:val="21"/>
          <w:szCs w:val="21"/>
        </w:rPr>
        <w:t xml:space="preserve">Incorporate advanced predictive models to forecast commodity and currency market trends.</w:t>
      </w:r>
    </w:p>
    <w:p>
      <w:pPr>
        <w:pStyle w:val="ListParagraph"/>
        <w:numPr>
          <w:ilvl w:val="0"/>
          <w:numId w:val="1"/>
        </w:numPr>
        <w:spacing w:after="80"/>
      </w:pPr>
      <w:r>
        <w:rPr>
          <w:color w:val="333333"/>
          <w:sz w:val="21"/>
          <w:szCs w:val="21"/>
        </w:rPr>
        <w:t xml:space="preserve">Expand the analysis by including additional global economic indicators and geopolitical events.</w:t>
      </w:r>
    </w:p>
    <w:p>
      <w:pPr>
        <w:pStyle w:val="ListParagraph"/>
        <w:numPr>
          <w:ilvl w:val="0"/>
          <w:numId w:val="1"/>
        </w:numPr>
        <w:spacing w:after="80"/>
      </w:pPr>
      <w:r>
        <w:rPr>
          <w:color w:val="333333"/>
          <w:sz w:val="21"/>
          <w:szCs w:val="21"/>
        </w:rPr>
        <w:t xml:space="preserve">Regularly update datasets and dashboards to ensure timely and accurate business insights.</w:t>
      </w:r>
    </w:p>
    <w:p>
      <w:r>
        <w:br w:type="page"/>
      </w:r>
    </w:p>
    <w:p>
      <w:pPr>
        <w:pBdr>
          <w:bottom w:val="single" w:color="1F3864" w:sz="6" w:space="4"/>
        </w:pBdr>
        <w:spacing w:after="300" w:before="200"/>
      </w:pPr>
      <w:r>
        <w:rPr>
          <w:b/>
          <w:bCs/>
          <w:color w:val="1F3864"/>
          <w:sz w:val="26"/>
          <w:szCs w:val="26"/>
        </w:rPr>
        <w:t xml:space="preserve">Authorizations</w:t>
      </w:r>
    </w:p>
    <w:tbl>
      <w:tblPr>
        <w:tblW w:type="dxa" w:w="9300"/>
        <w:tblBorders>
          <w:top w:val="none"/>
          <w:left w:val="none"/>
          <w:bottom w:val="none"/>
          <w:right w:val="none"/>
          <w:insideH w:val="none"/>
          <w:insideV w:val="none"/>
        </w:tblBorders>
      </w:tblPr>
      <w:tblGrid>
        <w:gridCol w:w="4650"/>
        <w:gridCol w:w="4650"/>
      </w:tblGrid>
      <w:tr>
        <w:tc>
          <w:tcPr>
            <w:tcW w:type="dxa" w:w="4650"/>
            <w:tcMar>
              <w:top w:type="dxa" w:w="100"/>
              <w:left w:type="dxa" w:w="100"/>
              <w:bottom w:type="dxa" w:w="100"/>
              <w:right w:type="dxa" w:w="200"/>
            </w:tcMar>
          </w:tcPr>
          <w:p>
            <w:r>
              <w:rPr>
                <w:b/>
                <w:bCs/>
                <w:color w:val="1F3864"/>
                <w:sz w:val="22"/>
                <w:szCs w:val="22"/>
              </w:rPr>
              <w:t xml:space="preserve">Team Leader</w:t>
            </w:r>
          </w:p>
        </w:tc>
        <w:tc>
          <w:tcPr>
            <w:tcW w:type="dxa" w:w="4650"/>
            <w:tcMar>
              <w:top w:type="dxa" w:w="100"/>
              <w:left w:type="dxa" w:w="200"/>
              <w:bottom w:type="dxa" w:w="100"/>
              <w:right w:type="dxa" w:w="100"/>
            </w:tcMar>
          </w:tcPr>
          <w:p>
            <w:r>
              <w:rPr>
                <w:b/>
                <w:bCs/>
                <w:color w:val="1F3864"/>
                <w:sz w:val="22"/>
                <w:szCs w:val="22"/>
              </w:rPr>
              <w:t xml:space="preserve">Co-Team Leader</w:t>
            </w:r>
          </w:p>
        </w:tc>
      </w:tr>
      <w:tr>
        <w:tc>
          <w:tcPr>
            <w:tcW w:type="dxa" w:w="4650"/>
            <w:tcMar>
              <w:top w:type="dxa" w:w="200"/>
              <w:left w:type="dxa" w:w="100"/>
              <w:bottom w:type="dxa" w:w="100"/>
              <w:right w:type="dxa" w:w="200"/>
            </w:tcMar>
          </w:tcPr>
          <w:p>
            <w:pPr>
              <w:spacing w:after="40"/>
            </w:pPr>
            <w:r>
              <w:rPr>
                <w:color w:val="333333"/>
                <w:sz w:val="20"/>
                <w:szCs w:val="20"/>
              </w:rPr>
              <w:t xml:space="preserve">Signature: </w:t>
            </w:r>
            <w:r>
              <w:drawing>
                <wp:inline distT="0" distB="0" distL="0" distR="0">
                  <wp:extent cx="1428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609600"/>
                          </a:xfrm>
                          <a:prstGeom prst="rect">
                            <a:avLst/>
                          </a:prstGeom>
                        </pic:spPr>
                      </pic:pic>
                    </a:graphicData>
                  </a:graphic>
                </wp:inline>
              </w:drawing>
            </w:r>
          </w:p>
          <w:p>
            <w:pPr>
              <w:spacing w:after="40"/>
            </w:pPr>
            <w:r>
              <w:rPr>
                <w:color w:val="333333"/>
                <w:sz w:val="20"/>
                <w:szCs w:val="20"/>
              </w:rPr>
              <w:t xml:space="preserve">Name: Sandesh H. P.</w:t>
            </w:r>
          </w:p>
          <w:p>
            <w:r>
              <w:rPr>
                <w:color w:val="333333"/>
                <w:sz w:val="20"/>
                <w:szCs w:val="20"/>
              </w:rPr>
              <w:t xml:space="preserve">Date: 15 July 2026</w:t>
            </w:r>
          </w:p>
        </w:tc>
        <w:tc>
          <w:tcPr>
            <w:tcW w:type="dxa" w:w="4650"/>
            <w:tcMar>
              <w:top w:type="dxa" w:w="200"/>
              <w:left w:type="dxa" w:w="200"/>
              <w:bottom w:type="dxa" w:w="100"/>
              <w:right w:type="dxa" w:w="100"/>
            </w:tcMar>
          </w:tcPr>
          <w:p>
            <w:pPr>
              <w:spacing w:after="40"/>
            </w:pPr>
            <w:r>
              <w:rPr>
                <w:color w:val="333333"/>
                <w:sz w:val="20"/>
                <w:szCs w:val="20"/>
              </w:rPr>
              <w:t xml:space="preserve">Signature: </w:t>
            </w:r>
            <w:r>
              <w:drawing>
                <wp:inline distT="0" distB="0" distL="0" distR="0">
                  <wp:extent cx="14287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847725"/>
                          </a:xfrm>
                          <a:prstGeom prst="rect">
                            <a:avLst/>
                          </a:prstGeom>
                        </pic:spPr>
                      </pic:pic>
                    </a:graphicData>
                  </a:graphic>
                </wp:inline>
              </w:drawing>
            </w:r>
          </w:p>
          <w:p>
            <w:pPr>
              <w:spacing w:after="40"/>
            </w:pPr>
            <w:r>
              <w:rPr>
                <w:color w:val="333333"/>
                <w:sz w:val="20"/>
                <w:szCs w:val="20"/>
              </w:rPr>
              <w:t xml:space="preserve">Name: Tharun</w:t>
            </w:r>
          </w:p>
          <w:p>
            <w:r>
              <w:rPr>
                <w:color w:val="333333"/>
                <w:sz w:val="20"/>
                <w:szCs w:val="20"/>
              </w:rPr>
              <w:t xml:space="preserve">Date: 15 July 2026</w:t>
            </w:r>
          </w:p>
        </w:tc>
      </w:tr>
    </w:tbl>
    <w:p>
      <w:pPr>
        <w:spacing w:before="500"/>
        <w:jc w:val="center"/>
      </w:pPr>
      <w:r>
        <w:rPr>
          <w:i/>
          <w:iCs/>
          <w:color w:val="888888"/>
          <w:sz w:val="18"/>
          <w:szCs w:val="18"/>
        </w:rPr>
        <w:t xml:space="preserve">Prepared in accordance with standard PEP and performance reporting best practices.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350"/>
      </w:tabs>
    </w:pPr>
    <w:r>
      <w:rPr>
        <w:b/>
        <w:bCs/>
        <w:color w:val="1F3864"/>
        <w:sz w:val="16"/>
        <w:szCs w:val="16"/>
      </w:rPr>
      <w:t xml:space="preserve">PEP Performance Report</w:t>
    </w:r>
    <w:r>
      <w:rPr>
        <w:color w:val="888888"/>
        <w:sz w:val="16"/>
        <w:szCs w:val="16"/>
      </w:rPr>
      <w:t xml:space="preserve">  |  Analysis</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e2c6338e4d19d820b428d1bccbe3a8d8516586.jpg"/><Relationship Id="rId10" Type="http://schemas.openxmlformats.org/officeDocument/2006/relationships/image" Target="media/84857e934a36870c949319257b2c45f75b4cc219.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2026-07-15T10:37:25.195Z</dcterms:created>
  <dcterms:modified xsi:type="dcterms:W3CDTF">2026-07-15T10:37:25.211Z</dcterms:modified>
</cp:coreProperties>
</file>

<file path=docProps/custom.xml><?xml version="1.0" encoding="utf-8"?>
<Properties xmlns="http://schemas.openxmlformats.org/officeDocument/2006/custom-properties" xmlns:vt="http://schemas.openxmlformats.org/officeDocument/2006/docPropsVTypes"/>
</file>