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Population Health Research &amp; Strategic Ideation Synthesis: Optical Character Recognition (OCR) &amp; Computer Vision for Upstream Preventive Care</w:t>
      </w:r>
    </w:p>
    <w:p>
      <w:pPr>
        <w:pStyle w:val="Quote"/>
      </w:pPr>
      <w:r>
        <w:rPr>
          <w:b/>
        </w:rPr>
        <w:t xml:space="preserve">Document Identifier:</w:t>
      </w:r>
      <w:r>
        <w:t xml:space="preserve"> </w:t>
      </w:r>
      <w:r>
        <w:rPr>
          <w:rFonts w:ascii="Consolas" w:hAnsi="Consolas"/>
          <w:color w:val="B91C1C"/>
        </w:rPr>
        <w:t xml:space="preserve">DOC-RESEARCH-SYNTHESIS-001</w:t>
      </w:r>
      <w:r>
        <w:t xml:space="preserve"> </w:t>
      </w:r>
      <w:r>
        <w:rPr>
          <w:b/>
        </w:rPr>
        <w:t xml:space="preserve">Challenge:</w:t>
      </w:r>
      <w:r>
        <w:t xml:space="preserve"> Future Health Digital Innovation Challenge (Global Initiative by Abu Dhabi / Hack2skill) </w:t>
      </w:r>
      <w:r>
        <w:rPr>
          <w:b/>
        </w:rPr>
        <w:t xml:space="preserve">Track:</w:t>
      </w:r>
      <w:r>
        <w:t xml:space="preserve"> Track 02 — Population Health </w:t>
      </w:r>
      <w:r>
        <w:rPr>
          <w:b/>
        </w:rPr>
        <w:t xml:space="preserve">Focus Mandate:</w:t>
      </w:r>
      <w:r>
        <w:t xml:space="preserve"> </w:t>
      </w:r>
      <w:r>
        <w:rPr>
          <w:i/>
        </w:rPr>
        <w:t xml:space="preserve">“Turning health risk signals into upstream preventive action and scalable chronic disease risk management.”</w:t>
      </w:r>
      <w:r>
        <w:t xml:space="preserve"> </w:t>
      </w:r>
      <w:r>
        <w:rPr>
          <w:b/>
        </w:rPr>
        <w:t xml:space="preserve">Core Motto:</w:t>
      </w:r>
      <w:r>
        <w:t xml:space="preserve"> </w:t>
      </w:r>
      <w:r>
        <w:rPr>
          <w:i/>
        </w:rPr>
        <w:t xml:space="preserve">“To Sense is to Predict; To Predict is to Protect”</w:t>
      </w:r>
      <w:r>
        <w:t xml:space="preserve"> </w:t>
      </w:r>
      <w:r>
        <w:rPr>
          <w:b/>
        </w:rPr>
        <w:t xml:space="preserve">Target Ecosystems:</w:t>
      </w:r>
      <w:r>
        <w:t xml:space="preserve"> Department of Health – Abu Dhabi (DoH) / Malaffi HIE (Primary); BPJS Kesehatan / SatuSehat Indonesia (Secondary) </w:t>
      </w:r>
      <w:r>
        <w:rPr>
          <w:b/>
        </w:rPr>
        <w:t xml:space="preserve">Document Status:</w:t>
      </w:r>
      <w:r>
        <w:t xml:space="preserve"> </w:t>
      </w:r>
      <w:r>
        <w:rPr>
          <w:rFonts w:ascii="Consolas" w:hAnsi="Consolas"/>
          <w:color w:val="B91C1C"/>
        </w:rPr>
        <w:t xml:space="preserve">Approved / Strategic Blueprint</w:t>
      </w:r>
      <w:r>
        <w:t xml:space="preserve"> • </w:t>
      </w:r>
      <w:r>
        <w:rPr>
          <w:b/>
        </w:rPr>
        <w:t xml:space="preserve">Maturity Level:</w:t>
      </w:r>
      <w:r>
        <w:t xml:space="preserve"> </w:t>
      </w:r>
      <w:r>
        <w:rPr>
          <w:rFonts w:ascii="Consolas" w:hAnsi="Consolas"/>
          <w:color w:val="B91C1C"/>
        </w:rPr>
        <w:t xml:space="preserve">Production Ready v1.0</w:t>
      </w:r>
      <w:r>
        <w:t xml:space="preserve"> </w:t>
      </w:r>
      <w:r>
        <w:rPr>
          <w:b/>
        </w:rPr>
        <w:t xml:space="preserve">Date:</w:t>
      </w:r>
      <w:r>
        <w:t xml:space="preserve"> October 2026</w:t>
      </w:r>
    </w:p>
    <w:p>
      <w:pPr>
        <w:pBdr>
          <w:bottom w:val="single" w:sz="8" w:space="8" w:color="CBD5E1"/>
        </w:pBdr>
      </w:pPr>
    </w:p>
    <w:p>
      <w:pPr>
        <w:pStyle w:val="Heading2"/>
      </w:pPr>
      <w:r>
        <w:t xml:space="preserve">Table of Contents</w:t>
      </w:r>
    </w:p>
    <w:p>
      <w:pPr>
        <w:ind w:left="400"/>
      </w:pPr>
      <w:r>
        <w:t xml:space="preserve">1. </w:t>
      </w:r>
      <w:r>
        <w:rPr>
          <w:color w:val="2563EB"/>
          <w:u w:val="single"/>
        </w:rPr>
        <w:t xml:space="preserve">Executive Summary &amp; Strategic Rationale</w:t>
      </w:r>
    </w:p>
    <w:p>
      <w:pPr>
        <w:ind w:left="400"/>
      </w:pPr>
      <w:r>
        <w:t xml:space="preserve">2. </w:t>
      </w:r>
      <w:r>
        <w:rPr>
          <w:color w:val="2563EB"/>
          <w:u w:val="single"/>
        </w:rPr>
        <w:t xml:space="preserve">Section 1: Competition Context, Tracks &amp; Evaluation Parameters (Step 1)</w:t>
      </w:r>
    </w:p>
    <w:p>
      <w:pPr>
        <w:ind w:left="400"/>
        <w:rPr/>
      </w:pPr>
      <w:r>
        <w:t xml:space="preserve">• </w:t>
      </w:r>
      <w:r>
        <w:rPr>
          <w:color w:val="2563EB"/>
          <w:u w:val="single"/>
        </w:rPr>
        <w:t xml:space="preserve">2.1 Track Mandate &amp; Core Philosophy</w:t>
      </w:r>
    </w:p>
    <w:p>
      <w:pPr>
        <w:ind w:left="400"/>
        <w:rPr/>
      </w:pPr>
      <w:r>
        <w:t xml:space="preserve">• </w:t>
      </w:r>
      <w:r>
        <w:rPr>
          <w:color w:val="2563EB"/>
          <w:u w:val="single"/>
        </w:rPr>
        <w:t xml:space="preserve">2.2 Sub-Challenge Spectrum</w:t>
      </w:r>
    </w:p>
    <w:p>
      <w:pPr>
        <w:ind w:left="400"/>
        <w:rPr/>
      </w:pPr>
      <w:r>
        <w:t xml:space="preserve">• </w:t>
      </w:r>
      <w:r>
        <w:rPr>
          <w:color w:val="2563EB"/>
          <w:u w:val="single"/>
        </w:rPr>
        <w:t xml:space="preserve">2.3 Official Judging Rubric &amp; Weights</w:t>
      </w:r>
    </w:p>
    <w:p>
      <w:pPr>
        <w:ind w:left="400"/>
        <w:rPr/>
      </w:pPr>
      <w:r>
        <w:t xml:space="preserve">• </w:t>
      </w:r>
      <w:r>
        <w:rPr>
          <w:color w:val="2563EB"/>
          <w:u w:val="single"/>
        </w:rPr>
        <w:t xml:space="preserve">2.4 Target User &amp; Stakeholder Matrix</w:t>
      </w:r>
    </w:p>
    <w:p>
      <w:pPr>
        <w:ind w:left="400"/>
        <w:rPr/>
      </w:pPr>
      <w:r>
        <w:t xml:space="preserve">• </w:t>
      </w:r>
      <w:r>
        <w:rPr>
          <w:color w:val="2563EB"/>
          <w:u w:val="single"/>
        </w:rPr>
        <w:t xml:space="preserve">2.5 Competitive Differentiation Factors</w:t>
      </w:r>
    </w:p>
    <w:p>
      <w:pPr>
        <w:ind w:left="400"/>
      </w:pPr>
      <w:r>
        <w:t xml:space="preserve">1. </w:t>
      </w:r>
      <w:r>
        <w:rPr>
          <w:color w:val="2563EB"/>
          <w:u w:val="single"/>
        </w:rPr>
        <w:t xml:space="preserve">Section 2: Master Solution Catalog — 21 OCR &amp; Vision-AI Concepts</w:t>
      </w:r>
    </w:p>
    <w:p>
      <w:pPr>
        <w:ind w:left="400"/>
        <w:rPr/>
      </w:pPr>
      <w:r>
        <w:t xml:space="preserve">• </w:t>
      </w:r>
      <w:r>
        <w:rPr>
          <w:color w:val="2563EB"/>
          <w:u w:val="single"/>
        </w:rPr>
        <w:t xml:space="preserve">3.1 Cluster 1: Closing the Screening-to-Care Loop (5 Concepts)</w:t>
      </w:r>
    </w:p>
    <w:p>
      <w:pPr>
        <w:ind w:left="400"/>
        <w:rPr/>
      </w:pPr>
      <w:r>
        <w:t xml:space="preserve">• </w:t>
      </w:r>
      <w:r>
        <w:rPr>
          <w:color w:val="2563EB"/>
          <w:u w:val="single"/>
        </w:rPr>
        <w:t xml:space="preserve">3.2 Cluster 2: Climate-Resilient Worker Health (5 Concepts)</w:t>
      </w:r>
    </w:p>
    <w:p>
      <w:pPr>
        <w:ind w:left="400"/>
        <w:rPr/>
      </w:pPr>
      <w:r>
        <w:t xml:space="preserve">• </w:t>
      </w:r>
      <w:r>
        <w:rPr>
          <w:color w:val="2563EB"/>
          <w:u w:val="single"/>
        </w:rPr>
        <w:t xml:space="preserve">3.3 Cluster 3: Population &amp; Workforce Health Early Warning (4 Concepts)</w:t>
      </w:r>
    </w:p>
    <w:p>
      <w:pPr>
        <w:ind w:left="400"/>
        <w:rPr/>
      </w:pPr>
      <w:r>
        <w:t xml:space="preserve">• </w:t>
      </w:r>
      <w:r>
        <w:rPr>
          <w:color w:val="2563EB"/>
          <w:u w:val="single"/>
        </w:rPr>
        <w:t xml:space="preserve">3.4 Cluster 4: Protecting Brain Health Earlier (3 Concepts)</w:t>
      </w:r>
    </w:p>
    <w:p>
      <w:pPr>
        <w:ind w:left="400"/>
        <w:rPr/>
      </w:pPr>
      <w:r>
        <w:t xml:space="preserve">• </w:t>
      </w:r>
      <w:r>
        <w:rPr>
          <w:color w:val="2563EB"/>
          <w:u w:val="single"/>
        </w:rPr>
        <w:t xml:space="preserve">3.5 Cluster 5: Precision Prevention &amp; Life-Course Screening (4 Concepts)</w:t>
      </w:r>
    </w:p>
    <w:p>
      <w:pPr>
        <w:ind w:left="400"/>
      </w:pPr>
      <w:r>
        <w:t xml:space="preserve">1. </w:t>
      </w:r>
      <w:r>
        <w:rPr>
          <w:color w:val="2563EB"/>
          <w:u w:val="single"/>
        </w:rPr>
        <w:t xml:space="preserve">Section 3: Cross-Domain Population Health Opportunity Map (Step 2)</w:t>
      </w:r>
    </w:p>
    <w:p>
      <w:pPr>
        <w:ind w:left="400"/>
        <w:rPr/>
      </w:pPr>
      <w:r>
        <w:t xml:space="preserve">• </w:t>
      </w:r>
      <w:r>
        <w:rPr>
          <w:color w:val="2563EB"/>
          <w:u w:val="single"/>
        </w:rPr>
        <w:t xml:space="preserve">4.1 Cross-Domain Matrix Overview</w:t>
      </w:r>
    </w:p>
    <w:p>
      <w:pPr>
        <w:ind w:left="400"/>
        <w:rPr/>
      </w:pPr>
      <w:r>
        <w:t xml:space="preserve">• </w:t>
      </w:r>
      <w:r>
        <w:rPr>
          <w:color w:val="2563EB"/>
          <w:u w:val="single"/>
        </w:rPr>
        <w:t xml:space="preserve">4.2 Domain-by-Domain Investigation (8 Disease Areas)</w:t>
      </w:r>
    </w:p>
    <w:p>
      <w:pPr>
        <w:ind w:left="400"/>
      </w:pPr>
      <w:r>
        <w:t xml:space="preserve">1. </w:t>
      </w:r>
      <w:r>
        <w:rPr>
          <w:color w:val="2563EB"/>
          <w:u w:val="single"/>
        </w:rPr>
        <w:t xml:space="preserve">Section 4: The “Signal-to-Action” Translation Gaps (Step 3)</w:t>
      </w:r>
    </w:p>
    <w:p>
      <w:pPr>
        <w:ind w:left="400"/>
        <w:rPr/>
      </w:pPr>
      <w:r>
        <w:t xml:space="preserve">• </w:t>
      </w:r>
      <w:r>
        <w:rPr>
          <w:color w:val="2563EB"/>
          <w:u w:val="single"/>
        </w:rPr>
        <w:t xml:space="preserve">5.1 The 10 Systemic Breakdown Modes</w:t>
      </w:r>
    </w:p>
    <w:p>
      <w:pPr>
        <w:ind w:left="400"/>
        <w:rPr/>
      </w:pPr>
      <w:r>
        <w:t xml:space="preserve">• </w:t>
      </w:r>
      <w:r>
        <w:rPr>
          <w:color w:val="2563EB"/>
          <w:u w:val="single"/>
        </w:rPr>
        <w:t xml:space="preserve">5.2 The 5 Highest-Value Failure Archetypes</w:t>
      </w:r>
    </w:p>
    <w:p>
      <w:pPr>
        <w:ind w:left="400"/>
        <w:rPr/>
      </w:pPr>
      <w:r>
        <w:t xml:space="preserve">• </w:t>
      </w:r>
      <w:r>
        <w:rPr>
          <w:color w:val="2563EB"/>
          <w:u w:val="single"/>
        </w:rPr>
        <w:t xml:space="preserve">5.3 The 6-Stage Prevention Continuum</w:t>
      </w:r>
    </w:p>
    <w:p>
      <w:pPr>
        <w:ind w:left="400"/>
      </w:pPr>
      <w:r>
        <w:t xml:space="preserve">1. </w:t>
      </w:r>
      <w:r>
        <w:rPr>
          <w:color w:val="2563EB"/>
          <w:u w:val="single"/>
        </w:rPr>
        <w:t xml:space="preserve">Section 5: Problem Opportunity Statements (Step 4)</w:t>
      </w:r>
    </w:p>
    <w:p>
      <w:pPr>
        <w:ind w:left="400"/>
        <w:rPr/>
      </w:pPr>
      <w:r>
        <w:t xml:space="preserve">• </w:t>
      </w:r>
      <w:r>
        <w:rPr>
          <w:color w:val="2563EB"/>
          <w:u w:val="single"/>
        </w:rPr>
        <w:t xml:space="preserve">6.1 Problem 1 (P1): Asymptomatic Cardiorenal Disease (Early CKD / DKD)</w:t>
      </w:r>
    </w:p>
    <w:p>
      <w:pPr>
        <w:ind w:left="400"/>
        <w:rPr/>
      </w:pPr>
      <w:r>
        <w:t xml:space="preserve">• </w:t>
      </w:r>
      <w:r>
        <w:rPr>
          <w:color w:val="2563EB"/>
          <w:u w:val="single"/>
        </w:rPr>
        <w:t xml:space="preserve">6.2 Problem 2 (P2): Heat-Nephropathy &amp; The Wearable Fallacy</w:t>
      </w:r>
    </w:p>
    <w:p>
      <w:pPr>
        <w:ind w:left="400"/>
        <w:rPr/>
      </w:pPr>
      <w:r>
        <w:t xml:space="preserve">• </w:t>
      </w:r>
      <w:r>
        <w:rPr>
          <w:color w:val="2563EB"/>
          <w:u w:val="single"/>
        </w:rPr>
        <w:t xml:space="preserve">6.3 Problem 3 (P3): Administrative Dark Data in Enterprise Sick Notes</w:t>
      </w:r>
    </w:p>
    <w:p>
      <w:pPr>
        <w:ind w:left="400"/>
        <w:rPr/>
      </w:pPr>
      <w:r>
        <w:t xml:space="preserve">• </w:t>
      </w:r>
      <w:r>
        <w:rPr>
          <w:color w:val="2563EB"/>
          <w:u w:val="single"/>
        </w:rPr>
        <w:t xml:space="preserve">6.4 Problem 4 (P4): Digital Divide &amp; Reversible Mimics in Brain Health</w:t>
      </w:r>
    </w:p>
    <w:p>
      <w:pPr>
        <w:ind w:left="400"/>
        <w:rPr/>
      </w:pPr>
      <w:r>
        <w:t xml:space="preserve">• </w:t>
      </w:r>
      <w:r>
        <w:rPr>
          <w:color w:val="2563EB"/>
          <w:u w:val="single"/>
        </w:rPr>
        <w:t xml:space="preserve">6.5 Problem 5 (P5): Thermal Paper Spirometry &amp; Industrial Lung Decline</w:t>
      </w:r>
    </w:p>
    <w:p>
      <w:pPr>
        <w:ind w:left="400"/>
        <w:rPr/>
      </w:pPr>
      <w:r>
        <w:t xml:space="preserve">• </w:t>
      </w:r>
      <w:r>
        <w:rPr>
          <w:color w:val="2563EB"/>
          <w:u w:val="single"/>
        </w:rPr>
        <w:t xml:space="preserve">6.6 Problem 6 (P6): Expatriate Vaccine Booklets &amp; Pediatric ASQ Windows</w:t>
      </w:r>
    </w:p>
    <w:p>
      <w:pPr>
        <w:ind w:left="400"/>
        <w:rPr/>
      </w:pPr>
      <w:r>
        <w:t xml:space="preserve">• </w:t>
      </w:r>
      <w:r>
        <w:rPr>
          <w:color w:val="2563EB"/>
          <w:u w:val="single"/>
        </w:rPr>
        <w:t xml:space="preserve">6.7 Problem 7 (P7): Phenotypic Silos in Hand-Drawn Genetic Pedigrees</w:t>
      </w:r>
    </w:p>
    <w:p>
      <w:pPr>
        <w:ind w:left="400"/>
        <w:rPr/>
      </w:pPr>
      <w:r>
        <w:t xml:space="preserve">• </w:t>
      </w:r>
      <w:r>
        <w:rPr>
          <w:color w:val="2563EB"/>
          <w:u w:val="single"/>
        </w:rPr>
        <w:t xml:space="preserve">6.8 Problem 8 (P8): Grassroots Ledger Latency in Community Registries</w:t>
      </w:r>
    </w:p>
    <w:p>
      <w:pPr>
        <w:ind w:left="400"/>
      </w:pPr>
      <w:r>
        <w:t xml:space="preserve">1. </w:t>
      </w:r>
      <w:r>
        <w:rPr>
          <w:color w:val="2563EB"/>
          <w:u w:val="single"/>
        </w:rPr>
        <w:t xml:space="preserve">Section 6: Transparent Multi-Criteria Scoring &amp; Ranking (Step 5)</w:t>
      </w:r>
    </w:p>
    <w:p>
      <w:pPr>
        <w:ind w:left="400"/>
        <w:rPr/>
      </w:pPr>
      <w:r>
        <w:t xml:space="preserve">• </w:t>
      </w:r>
      <w:r>
        <w:rPr>
          <w:color w:val="2563EB"/>
          <w:u w:val="single"/>
        </w:rPr>
        <w:t xml:space="preserve">7.1 Weighted Scoring Rubric</w:t>
      </w:r>
    </w:p>
    <w:p>
      <w:pPr>
        <w:ind w:left="400"/>
        <w:rPr/>
      </w:pPr>
      <w:r>
        <w:t xml:space="preserve">• </w:t>
      </w:r>
      <w:r>
        <w:rPr>
          <w:color w:val="2563EB"/>
          <w:u w:val="single"/>
        </w:rPr>
        <w:t xml:space="preserve">7.2 Comprehensive Evaluation Matrix</w:t>
      </w:r>
    </w:p>
    <w:p>
      <w:pPr>
        <w:ind w:left="400"/>
        <w:rPr/>
      </w:pPr>
      <w:r>
        <w:t xml:space="preserve">• </w:t>
      </w:r>
      <w:r>
        <w:rPr>
          <w:color w:val="2563EB"/>
          <w:u w:val="single"/>
        </w:rPr>
        <w:t xml:space="preserve">7.3 Detailed Ranking Rationale</w:t>
      </w:r>
    </w:p>
    <w:p>
      <w:pPr>
        <w:ind w:left="400"/>
      </w:pPr>
      <w:r>
        <w:t xml:space="preserve">1. </w:t>
      </w:r>
      <w:r>
        <w:rPr>
          <w:color w:val="2563EB"/>
          <w:u w:val="single"/>
        </w:rPr>
        <w:t xml:space="preserve">Section 7: Selection of the Champion Problem &amp; Pure-Software Architecture (Step 6)</w:t>
      </w:r>
    </w:p>
    <w:p>
      <w:pPr>
        <w:ind w:left="400"/>
        <w:rPr/>
      </w:pPr>
      <w:r>
        <w:t xml:space="preserve">• </w:t>
      </w:r>
      <w:r>
        <w:rPr>
          <w:color w:val="2563EB"/>
          <w:u w:val="single"/>
        </w:rPr>
        <w:t xml:space="preserve">8.1 The Hardware-Free &amp; API Ingestion Filter</w:t>
      </w:r>
    </w:p>
    <w:p>
      <w:pPr>
        <w:ind w:left="400"/>
        <w:rPr/>
      </w:pPr>
      <w:r>
        <w:t xml:space="preserve">• </w:t>
      </w:r>
      <w:r>
        <w:rPr>
          <w:color w:val="2563EB"/>
          <w:u w:val="single"/>
        </w:rPr>
        <w:t xml:space="preserve">8.2 The Top 3 Pure-Software Contenders</w:t>
      </w:r>
    </w:p>
    <w:p>
      <w:pPr>
        <w:ind w:left="400"/>
        <w:rPr/>
      </w:pPr>
      <w:r>
        <w:t xml:space="preserve">• </w:t>
      </w:r>
      <w:r>
        <w:rPr>
          <w:color w:val="2563EB"/>
          <w:u w:val="single"/>
        </w:rPr>
        <w:t xml:space="preserve">8.3 The #1 Champion: Cardiorenal Upstream Interception Engine</w:t>
      </w:r>
    </w:p>
    <w:p>
      <w:pPr>
        <w:ind w:left="400"/>
        <w:rPr/>
      </w:pPr>
      <w:r>
        <w:t xml:space="preserve">• </w:t>
      </w:r>
      <w:r>
        <w:rPr>
          <w:color w:val="2563EB"/>
          <w:u w:val="single"/>
        </w:rPr>
        <w:t xml:space="preserve">8.4 Complete End-to-End System Diagrams (Mermaid)</w:t>
      </w:r>
    </w:p>
    <w:p>
      <w:pPr>
        <w:ind w:left="400"/>
      </w:pPr>
      <w:r>
        <w:t xml:space="preserve">1. </w:t>
      </w:r>
      <w:r>
        <w:rPr>
          <w:color w:val="2563EB"/>
          <w:u w:val="single"/>
        </w:rPr>
        <w:t xml:space="preserve">Section 8: Clinical Governance, Safety Safeguards &amp; Judge Q&amp;A Defense</w:t>
      </w:r>
    </w:p>
    <w:p>
      <w:pPr>
        <w:ind w:left="400"/>
        <w:rPr/>
      </w:pPr>
      <w:r>
        <w:t xml:space="preserve">• </w:t>
      </w:r>
      <w:r>
        <w:rPr>
          <w:color w:val="2563EB"/>
          <w:u w:val="single"/>
        </w:rPr>
        <w:t xml:space="preserve">9.1 The Hemodynamic Dip Clinical Reassurance Protocol</w:t>
      </w:r>
    </w:p>
    <w:p>
      <w:pPr>
        <w:ind w:left="400"/>
        <w:rPr/>
      </w:pPr>
      <w:r>
        <w:t xml:space="preserve">• </w:t>
      </w:r>
      <w:r>
        <w:rPr>
          <w:color w:val="2563EB"/>
          <w:u w:val="single"/>
        </w:rPr>
        <w:t xml:space="preserve">9.2 Visual Bounding-Box Explainability</w:t>
      </w:r>
    </w:p>
    <w:p>
      <w:pPr>
        <w:ind w:left="400"/>
        <w:rPr/>
      </w:pPr>
      <w:r>
        <w:t xml:space="preserve">• </w:t>
      </w:r>
      <w:r>
        <w:rPr>
          <w:color w:val="2563EB"/>
          <w:u w:val="single"/>
        </w:rPr>
        <w:t xml:space="preserve">9.3 Strategic Judge Q&amp;A Defense</w:t>
      </w:r>
    </w:p>
    <w:p>
      <w:pPr>
        <w:ind w:left="400"/>
      </w:pPr>
      <w:r>
        <w:t xml:space="preserve">1. </w:t>
      </w:r>
      <w:r>
        <w:rPr>
          <w:color w:val="2563EB"/>
          <w:u w:val="single"/>
        </w:rPr>
        <w:t xml:space="preserve">Section 9: Document Governance &amp; Change Control</w:t>
      </w:r>
    </w:p>
    <w:p>
      <w:pPr>
        <w:pBdr>
          <w:bottom w:val="single" w:sz="8" w:space="8" w:color="CBD5E1"/>
        </w:pBdr>
      </w:pPr>
    </w:p>
    <w:p>
      <w:pPr>
        <w:pStyle w:val="Heading2"/>
      </w:pPr>
      <w:r>
        <w:t xml:space="preserve">1. Executive Summary &amp; Strategic Rationale</w:t>
      </w:r>
    </w:p>
    <w:p>
      <w:pPr>
        <w:pStyle w:val="Normal"/>
      </w:pPr>
      <w:r>
        <w:t xml:space="preserve">Modern healthcare systems fail not from an absence of sensing data, but from a profound </w:t>
      </w:r>
      <w:r>
        <w:rPr>
          <w:b/>
        </w:rPr>
        <w:t xml:space="preserve">"Signal-to-Action Translation Chasm"</w:t>
      </w:r>
      <w:r>
        <w:t xml:space="preserve">. Millions of citizens undergo routine health evaluations—blood draws, dipstick urinalysis, cognitive clock drawings, pre-employment checkups, and occupational screenings—yet </w:t>
      </w:r>
      <w:r>
        <w:rPr>
          <w:b/>
        </w:rPr>
        <w:t xml:space="preserve">over 85% of early progressive chronic disease cases drop through the cracks before guideline-directed preventive therapy is initiated</w:t>
      </w:r>
      <w:r>
        <w:t xml:space="preserve">.</w:t>
      </w:r>
    </w:p>
    <w:p>
      <w:pPr>
        <w:pBdr>
          <w:left w:val="single" w:sz="16" w:color="94A3B8"/>
        </w:pBdr>
        <w:shd w:val="clear" w:color="auto" w:fill="F8FAFC"/>
        <w:ind w:left="200"/>
      </w:pPr>
      <w:r>
        <w:rPr>
          <w:b/>
          <w:sz w:val="18"/>
          <w:color w:val="64748B"/>
        </w:rPr>
        <w:t>Code / Diagram Architecture:</w:t>
      </w:r>
      <w:p>
        <w:r>
          <w:rPr>
            <w:rFonts w:ascii="Consolas" w:hAnsi="Consolas"/>
            <w:sz w:val="18"/>
            <w:color w:val="1E293B"/>
          </w:rPr>
          <w:t xml:space="preserve">
            THE "SIGNAL-TO-ACTION" BREAKDOWN IN CURRENT HEALTHCARE
            <w:br/>
            ┌───────────────────────────────┐      ┌───────────────────────────────┐      ┌───────────────────────────────┐
            <w:br/>
            │ Routine Screening Signal      │ ──►  │ Unindexed Physical Document / │ ──►  │ Downstream Catastrophic Event │
            <w:br/>
            │ (Creatinine, Dipstick, Clock) │      │ Inert PDF in Hospital Archive │      │ (Dialysis, Stroke, Dementia)  │
            <w:br/>
            └───────────────────────────────┘      └───────────────────────────────┘      └───────────────────────────────┘
            <w:br/>
                                                                    ▲
            <w:br/>
                                                       THE TRANSLATION CHASM
            <w:br/>
                                                       - Single-point static cutoffs
            <w:br/>
                                                       - Clinician therapeutic inertia
            <w:br/>
                                                       - Asymptomatic patient denial
            <w:br/>
                                                       - Hardware fragility &amp; digital divide
          </w:t>
        </w:r>
      </w:p>
    </w:p>
    <w:p>
      <w:pPr>
        <w:pStyle w:val="Heading3"/>
      </w:pPr>
      <w:r>
        <w:t xml:space="preserve">The Strategic Discovery:</w:t>
      </w:r>
    </w:p>
    <w:p>
      <w:pPr>
        <w:ind w:left="400"/>
      </w:pPr>
      <w:r>
        <w:t xml:space="preserve">1. </w:t>
      </w:r>
      <w:r>
        <w:rPr>
          <w:b/>
        </w:rPr>
        <w:t xml:space="preserve">The Physical-to-Digital Chasm:</w:t>
      </w:r>
      <w:r>
        <w:t xml:space="preserve"> Diagnostic laboratories, standalone screening booths, and outpatient clinics hand patients printed paper slips with cryptic numerical values. These values are never structured into longitudinal Electronic Health Record (EHR) analytics or Health Information Exchanges (HIEs).</w:t>
      </w:r>
    </w:p>
    <w:p>
      <w:pPr>
        <w:ind w:left="400"/>
      </w:pPr>
      <w:r>
        <w:t xml:space="preserve">2. </w:t>
      </w:r>
      <w:r>
        <w:rPr>
          <w:b/>
        </w:rPr>
        <w:t xml:space="preserve">The "Wearable Fallacy" &amp; Hardware Burden:</w:t>
      </w:r>
      <w:r>
        <w:t xml:space="preserve"> Conventional digital health uniformly prescribes expensive, fragile wearable sensors (\</w:t>
      </w:r>
      <w:r>
        <w:rPr>
          <w:i/>
        </w:rPr>
        <w:t xml:space="preserve">150–\</w:t>
      </w:r>
      <w:r>
        <w:t xml:space="preserve">300 smartwatches) or tablet applications. In harsh environments (e.g., 45°C+ summer heat in Abu Dhabi/GCC) and among vulnerable older adults, hardware suffers extreme failure rates, thermal throttling, sensor occlusion, and high user resistance.</w:t>
      </w:r>
    </w:p>
    <w:p>
      <w:pPr>
        <w:ind w:left="400"/>
      </w:pPr>
      <w:r>
        <w:t xml:space="preserve">3. </w:t>
      </w:r>
      <w:r>
        <w:rPr>
          <w:b/>
        </w:rPr>
        <w:t xml:space="preserve">The Pure-Software Paradigm:</w:t>
      </w:r>
      <w:r>
        <w:t xml:space="preserve"> By deploying </w:t>
      </w:r>
      <w:r>
        <w:rPr>
          <w:b/>
        </w:rPr>
        <w:t xml:space="preserve">Multi-Modal Document AI, Layout-Aware Optical Character Recognition (OCR), and Geometric Computer Vision</w:t>
      </w:r>
      <w:r>
        <w:t xml:space="preserve"> directly on standard smartphone cameras and existing scanners, health systems can liberate latent physical biomarkers into </w:t>
      </w:r>
      <w:r>
        <w:rPr>
          <w:b/>
        </w:rPr>
        <w:t xml:space="preserve">HL7 FHIR R4 resources</w:t>
      </w:r>
      <w:r>
        <w:t xml:space="preserve"> at zero marginal hardware cost.</w:t>
      </w:r>
    </w:p>
    <w:p>
      <w:pPr>
        <w:ind w:left="400"/>
      </w:pPr>
      <w:r>
        <w:t xml:space="preserve">4. </w:t>
      </w:r>
      <w:r>
        <w:rPr>
          <w:b/>
        </w:rPr>
        <w:t xml:space="preserve">Closed-Loop Action:</w:t>
      </w:r>
      <w:r>
        <w:t xml:space="preserve"> To win the Future Health Challenge, sensing must trigger deterministic, multi-stakeholder clinical and behavioral intervention: empowering primary care physicians with 1-click evidence-based order sets, activating asymptomatic citizens via low-friction conversational channels (WhatsApp), and deploying community safety nets.</w:t>
      </w:r>
    </w:p>
    <w:p>
      <w:pPr>
        <w:pBdr>
          <w:bottom w:val="single" w:sz="8" w:space="8" w:color="CBD5E1"/>
        </w:pBdr>
      </w:pPr>
    </w:p>
    <w:p>
      <w:pPr>
        <w:pStyle w:val="Heading2"/>
      </w:pPr>
      <w:r>
        <w:t xml:space="preserve">2. Section 1: Competition Context, Tracks &amp; Evaluation Parameters (Step 1)</w:t>
      </w:r>
    </w:p>
    <w:p>
      <w:pPr>
        <w:pStyle w:val="Heading3"/>
      </w:pPr>
      <w:r>
        <w:t xml:space="preserve">2.1 Track Mandate &amp; Core Philosophy</w:t>
      </w:r>
    </w:p>
    <w:p>
      <w:pPr>
        <w:ind w:left="400"/>
        <w:rPr/>
      </w:pPr>
      <w:r>
        <w:t xml:space="preserve">• </w:t>
      </w:r>
      <w:r>
        <w:rPr>
          <w:b/>
        </w:rPr>
        <w:t xml:space="preserve">Competition:</w:t>
      </w:r>
      <w:r>
        <w:t xml:space="preserve"> Future Health Digital Innovation Challenge (Global Initiative by Abu Dhabi, hosted on Hack2skill).</w:t>
      </w:r>
    </w:p>
    <w:p>
      <w:pPr>
        <w:ind w:left="400"/>
        <w:rPr/>
      </w:pPr>
      <w:r>
        <w:t xml:space="preserve">• </w:t>
      </w:r>
      <w:r>
        <w:rPr>
          <w:b/>
        </w:rPr>
        <w:t xml:space="preserve">Track:</w:t>
      </w:r>
      <w:r>
        <w:t xml:space="preserve"> </w:t>
      </w:r>
      <w:r>
        <w:rPr>
          <w:b/>
        </w:rPr>
        <w:t xml:space="preserve">Population Health</w:t>
      </w:r>
    </w:p>
    <w:p>
      <w:pPr>
        <w:ind w:left="400"/>
        <w:rPr/>
      </w:pPr>
      <w:r>
        <w:t xml:space="preserve">• </w:t>
      </w:r>
      <w:r>
        <w:rPr>
          <w:b/>
        </w:rPr>
        <w:t xml:space="preserve">Official Track Definition:</w:t>
      </w:r>
      <w:r>
        <w:t xml:space="preserve"> </w:t>
      </w:r>
      <w:r>
        <w:rPr>
          <w:i/>
        </w:rPr>
        <w:t xml:space="preserve">“Focuses on turning health risk signals into upstream preventive action and scalable chronic disease risk management.”</w:t>
      </w:r>
    </w:p>
    <w:p>
      <w:pPr>
        <w:ind w:left="400"/>
        <w:rPr/>
      </w:pPr>
      <w:r>
        <w:t xml:space="preserve">• </w:t>
      </w:r>
      <w:r>
        <w:rPr>
          <w:b/>
        </w:rPr>
        <w:t xml:space="preserve">Core Philosophy:</w:t>
      </w:r>
      <w:r>
        <w:t xml:space="preserve"> </w:t>
      </w:r>
      <w:r>
        <w:rPr>
          <w:b/>
        </w:rPr>
        <w:t xml:space="preserve">“To Sense is to Predict; To Predict is to Protect”</w:t>
      </w:r>
      <w:r>
        <w:t xml:space="preserve"> — Moving healthcare away from episodic, late-stage crisis management toward continuous, predictive, and protocolized upstream interception.</w:t>
      </w:r>
    </w:p>
    <w:p>
      <w:pPr>
        <w:pStyle w:val="Heading3"/>
      </w:pPr>
      <w:r>
        <w:t xml:space="preserve">2.2 Sub-Challenge Spectrum</w:t>
      </w:r>
    </w:p>
    <w:p>
      <w:pPr>
        <w:pStyle w:val="Normal"/>
      </w:pPr>
      <w:r>
        <w:t xml:space="preserve">The Population Health track encompasses five key challenge areas:</w:t>
      </w:r>
    </w:p>
    <w:p>
      <w:pPr>
        <w:ind w:left="400"/>
      </w:pPr>
      <w:r>
        <w:t xml:space="preserve">1. </w:t>
      </w:r>
      <w:r>
        <w:rPr>
          <w:b/>
        </w:rPr>
        <w:t xml:space="preserve">Closing the Screening-to-Care Loop:</w:t>
      </w:r>
      <w:r>
        <w:t xml:space="preserve"> Ensuring opportunistic or routine screening results translate into timely consultation, diagnostic confirmation, guideline-directed therapy, and documented closure.</w:t>
      </w:r>
    </w:p>
    <w:p>
      <w:pPr>
        <w:ind w:left="400"/>
      </w:pPr>
      <w:r>
        <w:t xml:space="preserve">2. </w:t>
      </w:r>
      <w:r>
        <w:rPr>
          <w:b/>
        </w:rPr>
        <w:t xml:space="preserve">Climate-Resilient Worker Health:</w:t>
      </w:r>
      <w:r>
        <w:t xml:space="preserve"> Protecting industrial outdoor workforces against extreme thermal strain and occupational nephropathy (</w:t>
      </w:r>
      <w:r>
        <w:rPr>
          <w:i/>
        </w:rPr>
        <w:t xml:space="preserve">Chronic Kidney Disease of non-traditional origin / CKDu</w:t>
      </w:r>
      <w:r>
        <w:t xml:space="preserve">) without fragile wearables.</w:t>
      </w:r>
    </w:p>
    <w:p>
      <w:pPr>
        <w:ind w:left="400"/>
      </w:pPr>
      <w:r>
        <w:t xml:space="preserve">3. </w:t>
      </w:r>
      <w:r>
        <w:rPr>
          <w:b/>
        </w:rPr>
        <w:t xml:space="preserve">Population &amp; Workforce Health Early Warning:</w:t>
      </w:r>
      <w:r>
        <w:t xml:space="preserve"> Unlocking administrative "dark data" (sick-leave notes, periodic medical exams, grassroots clinic ledgers) to intercept outbreaks and toxic exposures 7–12 days before hospitalizations surge.</w:t>
      </w:r>
    </w:p>
    <w:p>
      <w:pPr>
        <w:ind w:left="400"/>
      </w:pPr>
      <w:r>
        <w:t xml:space="preserve">4. </w:t>
      </w:r>
      <w:r>
        <w:rPr>
          <w:b/>
        </w:rPr>
        <w:t xml:space="preserve">Protecting Brain Health Earlier:</w:t>
      </w:r>
      <w:r>
        <w:t xml:space="preserve"> Detecting subtle, pre-clinical neurocognitive decline (MCI, early vascular/Alzheimer's pathology) while eliminating reversible drug/metabolic mimics using low-stress pen-and-paper modalities.</w:t>
      </w:r>
    </w:p>
    <w:p>
      <w:pPr>
        <w:ind w:left="400"/>
      </w:pPr>
      <w:r>
        <w:t xml:space="preserve">5. </w:t>
      </w:r>
      <w:r>
        <w:rPr>
          <w:b/>
        </w:rPr>
        <w:t xml:space="preserve">Precision Prevention &amp; Life-Course Screening:</w:t>
      </w:r>
      <w:r>
        <w:t xml:space="preserve"> Digitizing multi-generational family pedigrees, school/well-child developmental milestones, and external checkup slips to personalize preventive care timelines.</w:t>
      </w:r>
    </w:p>
    <w:p>
      <w:pPr>
        <w:pStyle w:val="Heading3"/>
      </w:pPr>
      <w:r>
        <w:t xml:space="preserve">2.3 Official Judging Rubric &amp; Weights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color="auto" w:fill="F1F5F9"/>
          </w:tcPr>
          <w:p>
            <w:pPr>
              <w:spacing w:after="60"/>
            </w:pPr>
            <w:r>
              <w:t xml:space="preserve">Judging Pillar</w:t>
            </w:r>
          </w:p>
        </w:tc>
        <w:tc>
          <w:tcPr>
            <w:shd w:val="clear" w:color="auto" w:fill="F1F5F9"/>
          </w:tcPr>
          <w:p>
            <w:pPr>
              <w:spacing w:after="60"/>
            </w:pPr>
            <w:r>
              <w:t xml:space="preserve">Weight</w:t>
            </w:r>
          </w:p>
        </w:tc>
        <w:tc>
          <w:tcPr>
            <w:shd w:val="clear" w:color="auto" w:fill="F1F5F9"/>
          </w:tcPr>
          <w:p>
            <w:pPr>
              <w:spacing w:after="60"/>
            </w:pPr>
            <w:r>
              <w:t xml:space="preserve">Competition Expectation</w:t>
            </w:r>
          </w:p>
        </w:tc>
        <w:tc>
          <w:tcPr>
            <w:shd w:val="clear" w:color="auto" w:fill="F1F5F9"/>
          </w:tcPr>
          <w:p>
            <w:pPr>
              <w:spacing w:after="60"/>
            </w:pPr>
            <w:r>
              <w:t xml:space="preserve">Strategy for Maximum Scoring</w:t>
            </w:r>
          </w:p>
        </w:tc>
      </w:tr>
      <w:tr>
        <w:tc>
          <w:tcPr>
            <w:shd w:val="clear" w:color="auto" w:fill="FFFFFF"/>
          </w:tcPr>
          <w:p>
            <w:pPr>
              <w:spacing w:after="40"/>
            </w:pPr>
            <w:r>
              <w:rPr>
                <w:b/>
              </w:rPr>
              <w:t xml:space="preserve">Innovation &amp; Originality</w:t>
            </w:r>
          </w:p>
        </w:tc>
        <w:tc>
          <w:tcPr>
            <w:shd w:val="clear" w:color="auto" w:fill="FFFFFF"/>
          </w:tcPr>
          <w:p>
            <w:pPr>
              <w:spacing w:after="40"/>
            </w:pPr>
            <w:r>
              <w:rPr>
                <w:b/>
              </w:rPr>
              <w:t xml:space="preserve">25%</w:t>
            </w:r>
          </w:p>
        </w:tc>
        <w:tc>
          <w:tcPr>
            <w:shd w:val="clear" w:color="auto" w:fill="FFFFFF"/>
          </w:tcPr>
          <w:p>
            <w:pPr>
              <w:spacing w:after="40"/>
            </w:pPr>
            <w:r>
              <w:t xml:space="preserve">Rejects generic AI chatbots or passive analytics dashboards. Must solve an unsolved systemic bottleneck.</w:t>
            </w:r>
          </w:p>
        </w:tc>
        <w:tc>
          <w:tcPr>
            <w:shd w:val="clear" w:color="auto" w:fill="FFFFFF"/>
          </w:tcPr>
          <w:p>
            <w:pPr>
              <w:spacing w:after="40"/>
            </w:pPr>
            <w:r>
              <w:t xml:space="preserve">Deploy multi-modal Vision-AI to bridge physical paper artifacts into FHIR; tackle clinician hesitation over hemodynamic dips.</w:t>
            </w:r>
          </w:p>
        </w:tc>
      </w:tr>
      <w:tr>
        <w:tc>
          <w:tcPr>
            <w:shd w:val="clear" w:color="auto" w:fill="F8FAFC"/>
          </w:tcPr>
          <w:p>
            <w:pPr>
              <w:spacing w:after="40"/>
            </w:pPr>
            <w:r>
              <w:rPr>
                <w:b/>
              </w:rPr>
              <w:t xml:space="preserve">Impact Potential</w:t>
            </w:r>
          </w:p>
        </w:tc>
        <w:tc>
          <w:tcPr>
            <w:shd w:val="clear" w:color="auto" w:fill="F8FAFC"/>
          </w:tcPr>
          <w:p>
            <w:pPr>
              <w:spacing w:after="40"/>
            </w:pPr>
            <w:r>
              <w:rPr>
                <w:b/>
              </w:rPr>
              <w:t xml:space="preserve">25%</w:t>
            </w:r>
          </w:p>
        </w:tc>
        <w:tc>
          <w:tcPr>
            <w:shd w:val="clear" w:color="auto" w:fill="F8FAFC"/>
          </w:tcPr>
          <w:p>
            <w:pPr>
              <w:spacing w:after="40"/>
            </w:pPr>
            <w:r>
              <w:t xml:space="preserve">Measurable clinical benefit (NNT, relative risk reduction) and catastrophic expenditure avoidance.</w:t>
            </w:r>
          </w:p>
        </w:tc>
        <w:tc>
          <w:tcPr>
            <w:shd w:val="clear" w:color="auto" w:fill="F8FAFC"/>
          </w:tcPr>
          <w:p>
            <w:pPr>
              <w:spacing w:after="40"/>
            </w:pPr>
            <w:r>
              <w:t xml:space="preserve">Target End-Stage Kidney Disease (ESKD) hemodialysis avoidance (\</w:t>
            </w:r>
            <w:r>
              <w:rPr>
                <w:i/>
              </w:rPr>
              <w:t xml:space="preserve">35k–\</w:t>
            </w:r>
            <w:r>
              <w:t xml:space="preserve">60k/patient/year; Rp 11T+ BPJS spend).</w:t>
            </w:r>
          </w:p>
        </w:tc>
      </w:tr>
      <w:tr>
        <w:tc>
          <w:tcPr>
            <w:shd w:val="clear" w:color="auto" w:fill="FFFFFF"/>
          </w:tcPr>
          <w:p>
            <w:pPr>
              <w:spacing w:after="40"/>
            </w:pPr>
            <w:r>
              <w:rPr>
                <w:b/>
              </w:rPr>
              <w:t xml:space="preserve">Technical Feasibility &amp; Architecture</w:t>
            </w:r>
          </w:p>
        </w:tc>
        <w:tc>
          <w:tcPr>
            <w:shd w:val="clear" w:color="auto" w:fill="FFFFFF"/>
          </w:tcPr>
          <w:p>
            <w:pPr>
              <w:spacing w:after="40"/>
            </w:pPr>
            <w:r>
              <w:rPr>
                <w:b/>
              </w:rPr>
              <w:t xml:space="preserve">20%</w:t>
            </w:r>
          </w:p>
        </w:tc>
        <w:tc>
          <w:tcPr>
            <w:shd w:val="clear" w:color="auto" w:fill="FFFFFF"/>
          </w:tcPr>
          <w:p>
            <w:pPr>
              <w:spacing w:after="40"/>
            </w:pPr>
            <w:r>
              <w:t xml:space="preserve">Sound clinical-computational pipeline grounded in peer-reviewed formulas and health standards.</w:t>
            </w:r>
          </w:p>
        </w:tc>
        <w:tc>
          <w:tcPr>
            <w:shd w:val="clear" w:color="auto" w:fill="FFFFFF"/>
          </w:tcPr>
          <w:p>
            <w:pPr>
              <w:spacing w:after="40"/>
            </w:pPr>
            <w:r>
              <w:t xml:space="preserve">Implement validated KDIGO 2024, CKD-EPI 2021, and Tangri KFRE math with HL7 FHIR R4 interoperability.</w:t>
            </w:r>
          </w:p>
        </w:tc>
      </w:tr>
      <w:tr>
        <w:tc>
          <w:tcPr>
            <w:shd w:val="clear" w:color="auto" w:fill="F8FAFC"/>
          </w:tcPr>
          <w:p>
            <w:pPr>
              <w:spacing w:after="40"/>
            </w:pPr>
            <w:r>
              <w:rPr>
                <w:b/>
              </w:rPr>
              <w:t xml:space="preserve">Execution &amp; Prototype Quality</w:t>
            </w:r>
          </w:p>
        </w:tc>
        <w:tc>
          <w:tcPr>
            <w:shd w:val="clear" w:color="auto" w:fill="F8FAFC"/>
          </w:tcPr>
          <w:p>
            <w:pPr>
              <w:spacing w:after="40"/>
            </w:pPr>
            <w:r>
              <w:rPr>
                <w:b/>
              </w:rPr>
              <w:t xml:space="preserve">15%</w:t>
            </w:r>
          </w:p>
        </w:tc>
        <w:tc>
          <w:tcPr>
            <w:shd w:val="clear" w:color="auto" w:fill="F8FAFC"/>
          </w:tcPr>
          <w:p>
            <w:pPr>
              <w:spacing w:after="40"/>
            </w:pPr>
            <w:r>
              <w:t xml:space="preserve">Working, responsive software demonstration exhibiting low-latency clinician UX and high-empathy patient UX.</w:t>
            </w:r>
          </w:p>
        </w:tc>
        <w:tc>
          <w:tcPr>
            <w:shd w:val="clear" w:color="auto" w:fill="F8FAFC"/>
          </w:tcPr>
          <w:p>
            <w:pPr>
              <w:spacing w:after="40"/>
            </w:pPr>
            <w:r>
              <w:t xml:space="preserve">Deliver an ultra-fast (&lt;400ms) Doctor Copilot paired with an asynchronous WhatsApp conversational concierge.</w:t>
            </w:r>
          </w:p>
        </w:tc>
      </w:tr>
      <w:tr>
        <w:tc>
          <w:tcPr>
            <w:shd w:val="clear" w:color="auto" w:fill="FFFFFF"/>
          </w:tcPr>
          <w:p>
            <w:pPr>
              <w:spacing w:after="40"/>
            </w:pPr>
            <w:r>
              <w:rPr>
                <w:b/>
              </w:rPr>
              <w:t xml:space="preserve">Scalability &amp; Ecosystem Fit</w:t>
            </w:r>
          </w:p>
        </w:tc>
        <w:tc>
          <w:tcPr>
            <w:shd w:val="clear" w:color="auto" w:fill="FFFFFF"/>
          </w:tcPr>
          <w:p>
            <w:pPr>
              <w:spacing w:after="40"/>
            </w:pPr>
            <w:r>
              <w:rPr>
                <w:b/>
              </w:rPr>
              <w:t xml:space="preserve">15%</w:t>
            </w:r>
          </w:p>
        </w:tc>
        <w:tc>
          <w:tcPr>
            <w:shd w:val="clear" w:color="auto" w:fill="FFFFFF"/>
          </w:tcPr>
          <w:p>
            <w:pPr>
              <w:spacing w:after="40"/>
            </w:pPr>
            <w:r>
              <w:t xml:space="preserve">Demonstrates dual applicability: advanced HIEs and low-resource primary care environments.</w:t>
            </w:r>
          </w:p>
        </w:tc>
        <w:tc>
          <w:tcPr>
            <w:shd w:val="clear" w:color="auto" w:fill="FFFFFF"/>
          </w:tcPr>
          <w:p>
            <w:pPr>
              <w:spacing w:after="40"/>
            </w:pPr>
            <w:r>
              <w:t xml:space="preserve">Seamlessly integrate with </w:t>
            </w:r>
            <w:r>
              <w:rPr>
                <w:b/>
              </w:rPr>
              <w:t xml:space="preserve">Abu Dhabi DoH / Malaffi HIE / Ifhas</w:t>
            </w:r>
            <w:r>
              <w:t xml:space="preserve"> while operating effectively across </w:t>
            </w:r>
            <w:r>
              <w:rPr>
                <w:b/>
              </w:rPr>
              <w:t xml:space="preserve">BPJS Puskesmas</w:t>
            </w:r>
            <w:r>
              <w:t xml:space="preserve"> in Indonesia.</w:t>
            </w:r>
          </w:p>
        </w:tc>
      </w:tr>
    </w:tbl>
    <w:p>
      <w:pPr>
        <w:spacing w:after="120"/>
      </w:pPr>
    </w:p>
    <w:p>
      <w:pPr>
        <w:pStyle w:val="Heading3"/>
      </w:pPr>
      <w:r>
        <w:t xml:space="preserve">2.4 Target User &amp; Stakeholder Matrix</w:t>
      </w:r>
    </w:p>
    <w:p>
      <w:pPr>
        <w:pBdr>
          <w:left w:val="single" w:sz="16" w:color="94A3B8"/>
        </w:pBdr>
        <w:shd w:val="clear" w:color="auto" w:fill="F8FAFC"/>
        <w:ind w:left="200"/>
      </w:pPr>
      <w:r>
        <w:rPr>
          <w:b/>
          <w:sz w:val="18"/>
          <w:color w:val="64748B"/>
        </w:rPr>
        <w:t>Code / Diagram Architecture:</w:t>
      </w:r>
      <w:p>
        <w:r>
          <w:rPr>
            <w:rFonts w:ascii="Consolas" w:hAnsi="Consolas"/>
            <w:sz w:val="18"/>
            <w:color w:val="1E293B"/>
          </w:rPr>
          <w:t xml:space="preserve">
            ┌──────────────────────────────────────────────────────────────────────────────────────────────────┐
            <w:br/>
            │                                   STAKEHOLDER OPERATIONAL MAP                                    │
            <w:br/>
            ├──────────────────────────────┬───────────────────────────────┬───────────────────────────────────┤
            <w:br/>
            │ Stakeholder Persona          │ Operational Touchpoint        │ Primary System Deliverable        │
            <w:br/>
            ├──────────────────────────────┼───────────────────────────────┼───────────────────────────────────┤
            <w:br/>
            │ Frontline Primary Care MD    │ Web Clinical Copilot (&lt;400ms) │ 1-Click GDMT order sets &amp; dip     │
            <w:br/>
            │                              │                               │ reassurance badge in 3-min visit. │
            <w:br/>
            │ Triage Nurse / Intake Clerk  │ Mobile Web / Tablet Scanner   │ &lt;5s verification of scanned paper │
            <w:br/>
            │                              │                               │ lab bounding boxes &amp; FHIR sync.   │
            <w:br/>
            │ Asymptomatic Citizen/Patient │ Mobile Messaging (WhatsApp)   │ Plain-language "Kitchen Filter"   │
            <w:br/>
            │                              │                               │ analogy &amp; 1-click booking slot.   │
            <w:br/>
            │ Community Health Worker (CHW)│ Geocoded Mobile Task Sheet    │ Escalation ticket for home visits │
            <w:br/>
            │                              │                               │ when medication refills lapse.    │
            <w:br/>
            │ Health Authority / Insurer   │ Macro Command Dashboard       │ Regional risk heatmaps &amp; Markov   │
            <w:br/>
            │                              │                               │ cost savings projections.         │
            <w:br/>
            └──────────────────────────────┴───────────────────────────────┴───────────────────────────────────┘
          </w:t>
        </w:r>
      </w:p>
    </w:p>
    <w:p>
      <w:pPr>
        <w:pStyle w:val="Heading3"/>
      </w:pPr>
      <w:r>
        <w:t xml:space="preserve">2.5 Competitive Differentiation Factors</w:t>
      </w:r>
    </w:p>
    <w:p>
      <w:pPr>
        <w:ind w:left="400"/>
      </w:pPr>
      <w:r>
        <w:t xml:space="preserve">1. </w:t>
      </w:r>
      <w:r>
        <w:rPr>
          <w:b/>
        </w:rPr>
        <w:t xml:space="preserve">Escaping the "Dashboard Trap":</w:t>
      </w:r>
      <w:r>
        <w:t xml:space="preserve"> Winning solutions cannot merely display risk charts. Every identified signal must execute a deterministic, multi-channel action protocol across clinician, patient, and health system.</w:t>
      </w:r>
    </w:p>
    <w:p>
      <w:pPr>
        <w:ind w:left="400"/>
      </w:pPr>
      <w:r>
        <w:t xml:space="preserve">2. </w:t>
      </w:r>
      <w:r>
        <w:rPr>
          <w:b/>
        </w:rPr>
        <w:t xml:space="preserve">The "Zero-Hardware" Ingestion Advantage:</w:t>
      </w:r>
      <w:r>
        <w:t xml:space="preserve"> Rather than imposing costly wearable devices or touchscreen tablets that fail in field conditions or alienate elderly users, Computer Vision unlocks existing paper slips, test strips, and pen drawings.</w:t>
      </w:r>
    </w:p>
    <w:p>
      <w:pPr>
        <w:ind w:left="400"/>
      </w:pPr>
      <w:r>
        <w:t xml:space="preserve">3. </w:t>
      </w:r>
      <w:r>
        <w:rPr>
          <w:b/>
        </w:rPr>
        <w:t xml:space="preserve">Hard Health Economics Grounding:</w:t>
      </w:r>
      <w:r>
        <w:t xml:space="preserve"> Demonstrating catastrophic budget preservation through Class 1A clinical trial data (</w:t>
      </w:r>
      <w:r>
        <w:rPr>
          <w:i/>
        </w:rPr>
        <w:t xml:space="preserve">DAPA-CKD</w:t>
      </w:r>
      <w:r>
        <w:t xml:space="preserve">, </w:t>
      </w:r>
      <w:r>
        <w:rPr>
          <w:i/>
        </w:rPr>
        <w:t xml:space="preserve">EMPA-KIDNEY</w:t>
      </w:r>
      <w:r>
        <w:t xml:space="preserve">; NNT = 14–19).</w:t>
      </w:r>
    </w:p>
    <w:p>
      <w:pPr>
        <w:pBdr>
          <w:bottom w:val="single" w:sz="8" w:space="8" w:color="CBD5E1"/>
        </w:pBdr>
      </w:pPr>
    </w:p>
    <w:p>
      <w:pPr>
        <w:pStyle w:val="Heading2"/>
      </w:pPr>
      <w:r>
        <w:t xml:space="preserve">3. Section 2: Master Solution Catalog — 21 OCR &amp; Vision-AI Concepts</w:t>
      </w:r>
    </w:p>
    <w:p>
      <w:pPr>
        <w:pStyle w:val="Normal"/>
      </w:pPr>
      <w:r>
        <w:t xml:space="preserve">From the five underlying architectural specifications, 21 discrete solution concepts were synthesized across five thematic clusters:</w:t>
      </w:r>
    </w:p>
    <w:p>
      <w:pPr>
        <w:pBdr>
          <w:left w:val="single" w:sz="16" w:color="94A3B8"/>
        </w:pBdr>
        <w:shd w:val="clear" w:color="auto" w:fill="F8FAFC"/>
        <w:ind w:left="200"/>
      </w:pPr>
      <w:r>
        <w:rPr>
          <w:b/>
          <w:sz w:val="18"/>
          <w:color w:val="64748B"/>
        </w:rPr>
        <w:t>Code / Diagram Architecture:</w:t>
      </w:r>
      <w:p>
        <w:r>
          <w:rPr>
            <w:rFonts w:ascii="Consolas" w:hAnsi="Consolas"/>
            <w:sz w:val="18"/>
            <w:color w:val="1E293B"/>
          </w:rPr>
          <w:t xml:space="preserve">
            ┌──────────────────────────────────────────────────────────────────────────────────────────────────┐
            <w:br/>
            │                                   CATALOG OF 21 OCR CONCEPTS                                     │
            <w:br/>
            ├──────────────────────┬───────────────────────────────────────┬───────────────────────────────────┤
            <w:br/>
            │ Source Document      │ Concept Identifier &amp; Name             │ Core Functional Mechanism         │
            <w:br/>
            ├──────────────────────┼───────────────────────────────────────┼───────────────────────────────────┤
            <w:br/>
            │ DOC-SPEC-OCR-001     │ 01. Snap-to-Care                      │ Mobile lab-slip table OCR &amp; care  │
            <w:br/>
            │                      │ 02. Paper-to-FHIR Referral Bridge     │ Hospital referral bundle NER      │
            <w:br/>
            │                      │ 03. VisionDip                         │ Colorimetric urine strip reader   │
            <w:br/>
            │                      │ 04. Rx-to-Adherence Loop              │ Blister pack &amp; receipt OCR        │
            <w:br/>
            │                      │ 05. Kader-Sync                        │ Community paper ledger batch OCR  │
            <w:br/>
            ├──────────────────────┼───────────────────────────────────────┼───────────────────────────────────┤
            <w:br/>
            │ DOC-TRACK-OCR-       │ 06. ClimaPass-Gate                    │ Pre-shift bubble card kiosk       │
            <w:br/>
            │ CLIMATE-001          │ 07. HydroStrip OCR                    │ Field USG hydration strip scanner │
            <w:br/>
            │                      │ 08. SiteSense OCR                     │ Analog WBGT dial gauge digitizer  │
            <w:br/>
            │                      │ 09. ClimaDoc MCU                      │ Annual paper checkup parser       │
            <w:br/>
            │                      │ 10. AcclimaLog OCR                    │ Rest-break clipboard auditor      │
            <w:br/>
            ├──────────────────────┼───────────────────────────────────────┼───────────────────────────────────┤
            <w:br/>
            │ DOC-ARCH-OCR-EWS-001 │ 11. SICK-PULSE                        │ Syndromic sick-leave note parser  │
            <w:br/>
            │                      │ 12. THERMO-OCCUPULSE                  │ Cumulative renal thermal stress   │
            <w:br/>
            │                      │ 13. PULMO-SCAN                        │ Thermal spirometry curve scanner  │
            <w:br/>
            │                      │ 14. LEDGER-PULSE                      │ Primary care SaTScan ledger OCR   │
            <w:br/>
            ├──────────────────────┼───────────────────────────────────────┼───────────────────────────────────┤
            <w:br/>
            │ DOC-TRACK-BRAIN-     │ 15. NeuroVision OCR                   │ Clock Drawing geometric CV        │
            <w:br/>
            │ HEALTH-OCR-001       │ 16. SynapseExtract                    │ Reversible lab &amp; drug burden OCR  │
            <w:br/>
            │                      │ 17. Community-Cogni                   │ Paper IADL / AD8 checklist OMR    │
            <w:br/>
            ├──────────────────────┼───────────────────────────────────────┼───────────────────────────────────┤
            <w:br/>
            │ DOC-OCR-             │ 18. PediatriX OCR                     │ ASQ-3 &amp; expat vaccine booklet OCR │
            <w:br/>
            │ PREVENTION-001       │ 19. GenePedigree AI                   │ Hand-drawn genetic pedigree graph │
            <w:br/>
            │                      │ 20. LabLens / Paper2FHIR              │ External lab &amp; Ifhas checkup OCR  │
            <w:br/>
            │                      │ 21. At-Home BioScan                   │ LCD monitor &amp; rapid strip reader  │
            <w:br/>
            └──────────────────────┴───────────────────────────────────────┴───────────────────────────────────┘
          </w:t>
        </w:r>
      </w:p>
    </w:p>
    <w:p>
      <w:pPr>
        <w:pStyle w:val="Heading3"/>
      </w:pPr>
      <w:r>
        <w:t xml:space="preserve">3.1 Cluster 1: Closing the Screening-to-Care Loop (5 Concepts)</w:t>
      </w:r>
    </w:p>
    <w:p>
      <w:pPr>
        <w:ind w:left="400"/>
        <w:rPr/>
      </w:pPr>
      <w:r>
        <w:t xml:space="preserve">• </w:t>
      </w:r>
      <w:r>
        <w:rPr>
          <w:b/>
        </w:rPr>
        <w:t xml:space="preserve">01. Snap-to-Care (Mobile Lab-Slip Ingestion):</w:t>
      </w:r>
      <w:r>
        <w:t xml:space="preserve"> Ingests smartphone photos of printed paper laboratory reports (Prodia, PureHealth, SEHA) using layout-aware Document AI. Extracts Serum Creatinine, eGFR, Blood Pressure, and Urine Albumin, triggering an empathetic WhatsApp explanation and 1-click consultation booking.</w:t>
      </w:r>
    </w:p>
    <w:p>
      <w:pPr>
        <w:ind w:left="400"/>
        <w:rPr/>
      </w:pPr>
      <w:r>
        <w:t xml:space="preserve">• </w:t>
      </w:r>
      <w:r>
        <w:rPr>
          <w:b/>
        </w:rPr>
        <w:t xml:space="preserve">02. Paper-to-FHIR Referral Bridge:</w:t>
      </w:r>
      <w:r>
        <w:t xml:space="preserve"> Automated intake scanner for hospital administrative desks. Ingests multi-page referral packets (</w:t>
      </w:r>
      <w:r>
        <w:rPr>
          <w:i/>
        </w:rPr>
        <w:t xml:space="preserve">Surat Rujukan</w:t>
      </w:r>
      <w:r>
        <w:t xml:space="preserve">, BPJS SEP slips), performs clinical Named Entity Recognition (NER), verifies referral prerequisite tests, and pre-populates hospital EHRs.</w:t>
      </w:r>
    </w:p>
    <w:p>
      <w:pPr>
        <w:ind w:left="400"/>
        <w:rPr/>
      </w:pPr>
      <w:r>
        <w:t xml:space="preserve">• </w:t>
      </w:r>
      <w:r>
        <w:rPr>
          <w:b/>
        </w:rPr>
        <w:t xml:space="preserve">03. VisionDip (Edge Colorimetric Dipstick Reader):</w:t>
      </w:r>
      <w:r>
        <w:t xml:space="preserve"> Mobile camera scanner utilizing a physical color calibration reference card with Delta-E colorimetry to accurately quantify urine dipstick pads (protein, microalbumin, glucose, leukocytes) under variable clinic lighting.</w:t>
      </w:r>
    </w:p>
    <w:p>
      <w:pPr>
        <w:ind w:left="400"/>
        <w:rPr/>
      </w:pPr>
      <w:r>
        <w:t xml:space="preserve">• </w:t>
      </w:r>
      <w:r>
        <w:rPr>
          <w:b/>
        </w:rPr>
        <w:t xml:space="preserve">04. Rx-to-Adherence Loop:</w:t>
      </w:r>
      <w:r>
        <w:t xml:space="preserve"> Smartphone OCR scanning dispensed medication blister packs (e.g., Dapagliflozin 10mg) and stamped pharmacy receipts. Confirms therapy initiation in the registry and auto-schedules 4-week safety follow-up labs.</w:t>
      </w:r>
    </w:p>
    <w:p>
      <w:pPr>
        <w:ind w:left="400"/>
        <w:rPr/>
      </w:pPr>
      <w:r>
        <w:t xml:space="preserve">• </w:t>
      </w:r>
      <w:r>
        <w:rPr>
          <w:b/>
        </w:rPr>
        <w:t xml:space="preserve">05. Kader-Sync (Community Ledger Batch Digitizer):</w:t>
      </w:r>
      <w:r>
        <w:t xml:space="preserve"> Grid-segmentation and handwritten digit OCR that ingests smartphone photos of physical primary care cohort books (</w:t>
      </w:r>
      <w:r>
        <w:rPr>
          <w:i/>
        </w:rPr>
        <w:t xml:space="preserve">Buku Register Kohort PTM</w:t>
      </w:r>
      <w:r>
        <w:t xml:space="preserve">), converting 15–20 citizen records per page directly into national FHIR endpoints (SatuSehat/ASIK).</w:t>
      </w:r>
    </w:p>
    <w:p>
      <w:pPr>
        <w:pStyle w:val="Heading3"/>
      </w:pPr>
      <w:r>
        <w:t xml:space="preserve">3.2 Cluster 2: Climate-Resilient Worker Health (5 Concepts)</w:t>
      </w:r>
    </w:p>
    <w:p>
      <w:pPr>
        <w:ind w:left="400"/>
        <w:rPr/>
      </w:pPr>
      <w:r>
        <w:t xml:space="preserve">• </w:t>
      </w:r>
      <w:r>
        <w:rPr>
          <w:b/>
        </w:rPr>
        <w:t xml:space="preserve">06. ClimaPass-Gate (Pre-Shift Fit-to-Work Kiosk):</w:t>
      </w:r>
      <w:r>
        <w:t xml:space="preserve"> High-speed turnstile scanner processing multilingual bubble cards (sleep hours, heat-sensitizing meds, morning hydration symptoms) alongside worker ID badges in </w:t>
      </w:r>
      <w:r>
        <w:rPr>
          <w:i/>
        </w:rPr>
        <w:t xml:space="preserve">&lt;800\text{ ms}</w:t>
      </w:r>
      <w:r>
        <w:t xml:space="preserve">.</w:t>
      </w:r>
    </w:p>
    <w:p>
      <w:pPr>
        <w:ind w:left="400"/>
        <w:rPr/>
      </w:pPr>
      <w:r>
        <w:t xml:space="preserve">• </w:t>
      </w:r>
      <w:r>
        <w:rPr>
          <w:b/>
        </w:rPr>
        <w:t xml:space="preserve">07. HydroStrip OCR:</w:t>
      </w:r>
      <w:r>
        <w:t xml:space="preserve"> Standardized optical reader analyzing \$0.05 urine specific gravity (USG) chemical test strips in privacy-screened worker sanitation booths to identify acute dehydration.</w:t>
      </w:r>
    </w:p>
    <w:p>
      <w:pPr>
        <w:ind w:left="400"/>
        <w:rPr/>
      </w:pPr>
      <w:r>
        <w:t xml:space="preserve">• </w:t>
      </w:r>
      <w:r>
        <w:rPr>
          <w:b/>
        </w:rPr>
        <w:t xml:space="preserve">08. SiteSense OCR:</w:t>
      </w:r>
      <w:r>
        <w:t xml:space="preserve"> Needle-angle regression and LCD segment OCR digitizing legacy analog dry-bulb thermometers, dial psychrometers, and weather stations into real-time local Wet-Bulb Globe Temperature (WBGT).</w:t>
      </w:r>
    </w:p>
    <w:p>
      <w:pPr>
        <w:ind w:left="400"/>
        <w:rPr/>
      </w:pPr>
      <w:r>
        <w:t xml:space="preserve">• </w:t>
      </w:r>
      <w:r>
        <w:rPr>
          <w:b/>
        </w:rPr>
        <w:t xml:space="preserve">09. ClimaDoc MCU:</w:t>
      </w:r>
      <w:r>
        <w:t xml:space="preserve"> Batch document parser extracting cardiovascular and renal baseline metrics (creatinine, resting BP, BMI, ECG) from archived employee medical check-up (MCU) dossiers to assign Baseline Heat Vulnerability Indices (HVI).</w:t>
      </w:r>
    </w:p>
    <w:p>
      <w:pPr>
        <w:ind w:left="400"/>
        <w:rPr/>
      </w:pPr>
      <w:r>
        <w:t xml:space="preserve">• </w:t>
      </w:r>
      <w:r>
        <w:rPr>
          <w:b/>
        </w:rPr>
        <w:t xml:space="preserve">10. AcclimaLog OCR:</w:t>
      </w:r>
      <w:r>
        <w:t xml:space="preserve"> Digitizer for physical shaded rest-station clipboards and electrolyte distribution sheets, cross-referencing onboarding dates to enforce NIOSH/OSHA 14-day progressive heat acclimatization schedules.</w:t>
      </w:r>
    </w:p>
    <w:p>
      <w:pPr>
        <w:pStyle w:val="Heading3"/>
      </w:pPr>
      <w:r>
        <w:t xml:space="preserve">3.3 Cluster 3: Population &amp; Workforce Health Early Warning (4 Concepts)</w:t>
      </w:r>
    </w:p>
    <w:p>
      <w:pPr>
        <w:ind w:left="400"/>
        <w:rPr/>
      </w:pPr>
      <w:r>
        <w:t xml:space="preserve">• </w:t>
      </w:r>
      <w:r>
        <w:rPr>
          <w:b/>
        </w:rPr>
        <w:t xml:space="preserve">11. SICK-PULSE (Syndromic Sick-Note Surveillance):</w:t>
      </w:r>
      <w:r>
        <w:t xml:space="preserve"> Extracts issuing clinic stamps, clinical diagnoses (ICD-10), and prescribed drug categories from smartphone photos of employee medical leave certificates (</w:t>
      </w:r>
      <w:r>
        <w:rPr>
          <w:i/>
        </w:rPr>
        <w:t xml:space="preserve">Surat Sakit</w:t>
      </w:r>
      <w:r>
        <w:t xml:space="preserve">), running CDC EARS aberration algorithms to detect localized infectious outbreaks 7–12 days ahead of hospital registries.</w:t>
      </w:r>
    </w:p>
    <w:p>
      <w:pPr>
        <w:ind w:left="400"/>
        <w:rPr/>
      </w:pPr>
      <w:r>
        <w:t xml:space="preserve">• </w:t>
      </w:r>
      <w:r>
        <w:rPr>
          <w:b/>
        </w:rPr>
        <w:t xml:space="preserve">12. THERMO-OCCUPULSE:</w:t>
      </w:r>
      <w:r>
        <w:t xml:space="preserve"> Industrial surveillance platform synthesizing annual MCU creatinine records, on-site urinalysis logs, and environmental WBGT feeds into a Cumulative Renal Thermal Stress Score (CRSS) for early CKDu interception.</w:t>
      </w:r>
    </w:p>
    <w:p>
      <w:pPr>
        <w:ind w:left="400"/>
        <w:rPr/>
      </w:pPr>
      <w:r>
        <w:t xml:space="preserve">• </w:t>
      </w:r>
      <w:r>
        <w:rPr>
          <w:b/>
        </w:rPr>
        <w:t xml:space="preserve">13. PULMO-SCAN:</w:t>
      </w:r>
      <w:r>
        <w:t xml:space="preserve"> Thermal paper digitizer parsing annual spirometry curves (FEV1, FVC, cross-shift decline) and audiograms to intercept accelerated lung function decline (</w:t>
      </w:r>
      <w:r>
        <w:rPr>
          <w:i/>
        </w:rPr>
        <w:t xml:space="preserve">&gt;15\%</w:t>
      </w:r>
      <w:r>
        <w:t xml:space="preserve"> drop) and chemical inhalation injury.</w:t>
      </w:r>
    </w:p>
    <w:p>
      <w:pPr>
        <w:ind w:left="400"/>
        <w:rPr/>
      </w:pPr>
      <w:r>
        <w:t xml:space="preserve">• </w:t>
      </w:r>
      <w:r>
        <w:rPr>
          <w:b/>
        </w:rPr>
        <w:t xml:space="preserve">14. LEDGER-PULSE:</w:t>
      </w:r>
      <w:r>
        <w:t xml:space="preserve"> Grassroots surveillance engine digitizing handwritten rural primary care visit ledgers and pharmacy sales logs, applying SaTScan spatial statistics to detect emerging waterborne and vector-borne clusters.</w:t>
      </w:r>
    </w:p>
    <w:p>
      <w:pPr>
        <w:pStyle w:val="Heading3"/>
      </w:pPr>
      <w:r>
        <w:t xml:space="preserve">3.4 Cluster 4: Protecting Brain Health Earlier (3 Concepts)</w:t>
      </w:r>
    </w:p>
    <w:p>
      <w:pPr>
        <w:ind w:left="400"/>
        <w:rPr/>
      </w:pPr>
      <w:r>
        <w:t xml:space="preserve">• </w:t>
      </w:r>
      <w:r>
        <w:rPr>
          <w:b/>
        </w:rPr>
        <w:t xml:space="preserve">15. NeuroVision OCR:</w:t>
      </w:r>
      <w:r>
        <w:t xml:space="preserve"> Geometric computer vision analyzing smartphone photos of standard pen-and-paper Clock Drawing Tests (CDT) and Trail Making Tests (TMT). Quantifies circle sphericity, hand-angle vectors (</w:t>
      </w:r>
      <w:r>
        <w:rPr>
          <w:i/>
        </w:rPr>
        <w:t xml:space="preserve">60^\circ</w:t>
      </w:r>
      <w:r>
        <w:t xml:space="preserve"> minute, </w:t>
      </w:r>
      <w:r>
        <w:rPr>
          <w:i/>
        </w:rPr>
        <w:t xml:space="preserve">335^\circ</w:t>
      </w:r>
      <w:r>
        <w:t xml:space="preserve"> hour), spatial digit crowding, and stroke tortuosity (micro-tremor).</w:t>
      </w:r>
    </w:p>
    <w:p>
      <w:pPr>
        <w:ind w:left="400"/>
        <w:rPr/>
      </w:pPr>
      <w:r>
        <w:t xml:space="preserve">• </w:t>
      </w:r>
      <w:r>
        <w:rPr>
          <w:b/>
        </w:rPr>
        <w:t xml:space="preserve">16. SynapseExtract:</w:t>
      </w:r>
      <w:r>
        <w:t xml:space="preserve"> Document AI engine parsing physical lab sheets and paper prescription lists. Cross-references drugs against the Boustani Anticholinergic Cognitive Burden (ACB) scale and extracts metabolic/endocrine labs (TSH, B12) to catch reversible pseudo-dementia mimics.</w:t>
      </w:r>
    </w:p>
    <w:p>
      <w:pPr>
        <w:ind w:left="400"/>
        <w:rPr/>
      </w:pPr>
      <w:r>
        <w:t xml:space="preserve">• </w:t>
      </w:r>
      <w:r>
        <w:rPr>
          <w:b/>
        </w:rPr>
        <w:t xml:space="preserve">17. Community-Cogni:</w:t>
      </w:r>
      <w:r>
        <w:t xml:space="preserve"> Mobile Optical Mark Recognition (OMR) system reading 1-page paper functional checklists (AD8, Lawton IADL) completed by caregivers or community health cadres (</w:t>
      </w:r>
      <w:r>
        <w:rPr>
          <w:i/>
        </w:rPr>
        <w:t xml:space="preserve">Posyandu Lansia</w:t>
      </w:r>
      <w:r>
        <w:t xml:space="preserve">).</w:t>
      </w:r>
    </w:p>
    <w:p>
      <w:pPr>
        <w:pStyle w:val="Heading3"/>
      </w:pPr>
      <w:r>
        <w:t xml:space="preserve">3.5 Cluster 5: Precision Prevention &amp; Life-Course Screening (4 Concepts)</w:t>
      </w:r>
    </w:p>
    <w:p>
      <w:pPr>
        <w:ind w:left="400"/>
        <w:rPr/>
      </w:pPr>
      <w:r>
        <w:t xml:space="preserve">• </w:t>
      </w:r>
      <w:r>
        <w:rPr>
          <w:b/>
        </w:rPr>
        <w:t xml:space="preserve">18. PediatriX OCR:</w:t>
      </w:r>
      <w:r>
        <w:t xml:space="preserve"> Multi-page intake parser for paper Ages &amp; Stages Questionnaires (ASQ-3), M-CHAT-R autism screeners, and diverse international expatriate paper vaccination booklets, harmonizing records to CDC/ADEK milestones.</w:t>
      </w:r>
    </w:p>
    <w:p>
      <w:pPr>
        <w:ind w:left="400"/>
        <w:rPr/>
      </w:pPr>
      <w:r>
        <w:t xml:space="preserve">• </w:t>
      </w:r>
      <w:r>
        <w:rPr>
          <w:b/>
        </w:rPr>
        <w:t xml:space="preserve">19. GenePedigree AI:</w:t>
      </w:r>
      <w:r>
        <w:t xml:space="preserve"> Graph-vision convolutional network parsing hand-drawn genetic pedigree trees (circles, squares, consanguinity lines) and premarital certificates (</w:t>
      </w:r>
      <w:r>
        <w:rPr>
          <w:i/>
        </w:rPr>
        <w:t xml:space="preserve">Al-Fahas</w:t>
      </w:r>
      <w:r>
        <w:t xml:space="preserve">), linking phenotypic history to the Emirati Genome Program.</w:t>
      </w:r>
    </w:p>
    <w:p>
      <w:pPr>
        <w:ind w:left="400"/>
        <w:rPr/>
      </w:pPr>
      <w:r>
        <w:t xml:space="preserve">• </w:t>
      </w:r>
      <w:r>
        <w:rPr>
          <w:b/>
        </w:rPr>
        <w:t xml:space="preserve">20. LabLens / Paper2FHIR:</w:t>
      </w:r>
      <w:r>
        <w:t xml:space="preserve"> Outpatient laboratory and imaging summary parser extracting LOINC analytes and oncology screening scores (e.g., BI-RADS 3/4 mammography) to prompt Abu Dhabi </w:t>
      </w:r>
      <w:r>
        <w:rPr>
          <w:i/>
        </w:rPr>
        <w:t xml:space="preserve">Ifhas</w:t>
      </w:r>
      <w:r>
        <w:t xml:space="preserve"> recall schedules.</w:t>
      </w:r>
    </w:p>
    <w:p>
      <w:pPr>
        <w:ind w:left="400"/>
        <w:rPr/>
      </w:pPr>
      <w:r>
        <w:t xml:space="preserve">• </w:t>
      </w:r>
      <w:r>
        <w:rPr>
          <w:b/>
        </w:rPr>
        <w:t xml:space="preserve">21. At-Home BioScan:</w:t>
      </w:r>
      <w:r>
        <w:t xml:space="preserve"> Optical computer vision reading 7-segment LCD digital screens of standard non-connected blood pressure cuffs and colorimetric rapid test cassettes.</w:t>
      </w:r>
    </w:p>
    <w:p>
      <w:pPr>
        <w:pBdr>
          <w:bottom w:val="single" w:sz="8" w:space="8" w:color="CBD5E1"/>
        </w:pBdr>
      </w:pPr>
    </w:p>
    <w:p>
      <w:pPr>
        <w:pStyle w:val="Heading2"/>
      </w:pPr>
      <w:r>
        <w:t xml:space="preserve">4. Section 3: Cross-Domain Population Health Opportunity Map (Step 2)</w:t>
      </w:r>
    </w:p>
    <w:p>
      <w:pPr>
        <w:pStyle w:val="Heading3"/>
      </w:pPr>
      <w:r>
        <w:t xml:space="preserve">4.1 Cross-Domain Matrix Overview</w:t>
      </w:r>
    </w:p>
    <w:p>
      <w:pPr>
        <w:pBdr>
          <w:left w:val="single" w:sz="16" w:color="94A3B8"/>
        </w:pBdr>
        <w:shd w:val="clear" w:color="auto" w:fill="F8FAFC"/>
        <w:ind w:left="200"/>
      </w:pPr>
      <w:r>
        <w:rPr>
          <w:b/>
          <w:sz w:val="18"/>
          <w:color w:val="64748B"/>
        </w:rPr>
        <w:t>Code / Diagram Architecture:</w:t>
      </w:r>
      <w:p>
        <w:r>
          <w:rPr>
            <w:rFonts w:ascii="Consolas" w:hAnsi="Consolas"/>
            <w:sz w:val="18"/>
            <w:color w:val="1E293B"/>
          </w:rPr>
          <w:t xml:space="preserve">
            ┌────────────────────────────────────────────────────────────────────────────────────────────────────────────────────────┐
            <w:br/>
            │                                   CROSS-DOMAIN SIGNAL-TO-ACTION OPPORTUNITY MAP                                       │
            <w:br/>
            ├───────────────────────────────┬────────────────────────────────────────┬───────────────────────────────────────────────┤
            <w:br/>
            │ Clinical &amp; Preventive Domain  │ Primary Latent Signal Trapped in Paper │ Catalog Solution Concepts                     │
            <w:br/>
            ├───────────────────────────────┼────────────────────────────────────────┼───────────────────────────────────────────────┤
            <w:br/>
            │ 1. Cardiorenal Disease (CKD)  │ Serial Creatinine, eGFR, Dipstick      │ • Snap-to-Care (#1) • VisionDip (#3)          │
            <w:br/>
            │                               │ Protein, Spot uACR, BP, HbA1c          │ • Rx-to-Adherence (#4)                        │
            <w:br/>
            ├───────────────────────────────┼────────────────────────────────────────┼───────────────────────────────────────────────┤
            <w:br/>
            │ 2. Hypertension &amp; ASCVD       │ Non-connected LCD BP, Lipid Panels,    │ • At-Home BioScan (#21)                       │
            <w:br/>
            │                               │ Paper Hospital Referral Slips          │ • Paper-to-FHIR Referral Bridge (#2)          │
            <w:br/>
            ├───────────────────────────────┼────────────────────────────────────────┼───────────────────────────────────────────────┤
            <w:br/>
            │ 3. Climate Heat Strain &amp; CKDu │ Pre-shift check-in cards, Urine        │ • ClimaPass-Gate (#6) • HydroStrip (#7)       │
            <w:br/>
            │                               │ Specific Gravity, Analog WBGT Dials    │ • SiteSense (#8) • ClimaDoc (#9) • THERMO (#12)│
            <w:br/>
            ├───────────────────────────────┼────────────────────────────────────────┼───────────────────────────────────────────────┤
            <w:br/>
            │ 4. Neurocognitive Decline     │ Pen-and-paper Clock Drawings, Paper    │ • NeuroVision (#15) • SynapseExtract (#16)    │
            <w:br/>
            │                               │ Prescriptions (ACB $\ge 3$), B12/TSH   │ • Community-Cogni (#17)                       │
            <w:br/>
            ├───────────────────────────────┼────────────────────────────────────────┼───────────────────────────────────────────────┤
            <w:br/>
            │ 5. Industrial Respiratory     │ Thermal Spirometry Curves (FEV1/FVC),  │ • PULMO-SCAN (#13)                            │
            <w:br/>
            │                               │ Audiograms, Chemical Handling Logs     │                                               │
            <w:br/>
            ├───────────────────────────────┼────────────────────────────────────────┼───────────────────────────────────────────────┤
            <w:br/>
            │ 6. Pediatric Development      │ ASQ-3 checkmarks, M-CHAT-R sheets,     │ • PediatriX OCR (#18)                         │
            <w:br/>
            │                               │ Expatriate paper vaccine passports     │                                               │
            <w:br/>
            ├───────────────────────────────┼────────────────────────────────────────┼───────────────────────────────────────────────┤
            <w:br/>
            │ 7. Familial &amp; Genomic Risk    │ Hand-drawn pedigree family trees,      │ • GenePedigree AI (#19)                       │
            <w:br/>
            │                               │ Premarital screening certificates      │ • LabLens / Paper2FHIR (#20)                  │
            <w:br/>
            ├───────────────────────────────┼────────────────────────────────────────┼───────────────────────────────────────────────┤
            <w:br/>
            │ 8. Syndromic Early Warning    │ Doctor sick-leave certificates, Paper  │ • SICK-PULSE (#11)                            │
            <w:br/>
            │                               │ primary clinic ledgers, Pharmacy books │ • Kader-Sync (#5) • LEDGER-PULSE (#14)        │
            <w:br/>
            └───────────────────────────────┴────────────────────────────────────────┴───────────────────────────────────────────────┘
          </w:t>
        </w:r>
      </w:p>
    </w:p>
    <w:p>
      <w:pPr>
        <w:pStyle w:val="Heading3"/>
      </w:pPr>
      <w:r>
        <w:t xml:space="preserve">4.2 Domain-by-Domain Investigation (8 Disease Areas)</w:t>
      </w:r>
    </w:p>
    <w:p>
      <w:pPr>
        <w:pStyle w:val="Heading3"/>
      </w:pPr>
      <w:r>
        <w:t xml:space="preserve">1. Cardiorenal Disease (Early CKD &amp; Diabetic Nephropathy)</w:t>
      </w:r>
    </w:p>
    <w:p>
      <w:pPr>
        <w:ind w:left="400"/>
        <w:rPr/>
      </w:pPr>
      <w:r>
        <w:t xml:space="preserve">• </w:t>
      </w:r>
      <w:r>
        <w:rPr>
          <w:b/>
        </w:rPr>
        <w:t xml:space="preserve">Risk Signals:</w:t>
      </w:r>
      <w:r>
        <w:t xml:space="preserve"> Serial serum creatinine (</w:t>
      </w:r>
      <w:r>
        <w:rPr>
          <w:i/>
        </w:rPr>
        <w:t xml:space="preserve">\text{mg/dL}</w:t>
      </w:r>
      <w:r>
        <w:t xml:space="preserve"> or </w:t>
      </w:r>
      <w:r>
        <w:rPr>
          <w:i/>
        </w:rPr>
        <w:t xml:space="preserve">\mu\text{mol/L}</w:t>
      </w:r>
      <w:r>
        <w:t xml:space="preserve">), estimated GFR, dipstick proteinuria (</w:t>
      </w:r>
      <w:r>
        <w:rPr>
          <w:i/>
        </w:rPr>
        <w:t xml:space="preserve">1+</w:t>
      </w:r>
      <w:r>
        <w:t xml:space="preserve"> to </w:t>
      </w:r>
      <w:r>
        <w:rPr>
          <w:i/>
        </w:rPr>
        <w:t xml:space="preserve">4+</w:t>
      </w:r>
      <w:r>
        <w:t xml:space="preserve">), spot urine albumin-to-creatinine ratio (uACR), blood pressure, and HbA1c.</w:t>
      </w:r>
    </w:p>
    <w:p>
      <w:pPr>
        <w:ind w:left="400"/>
        <w:rPr/>
      </w:pPr>
      <w:r>
        <w:t xml:space="preserve">• </w:t>
      </w:r>
      <w:r>
        <w:rPr>
          <w:b/>
        </w:rPr>
        <w:t xml:space="preserve">Signal Owners:</w:t>
      </w:r>
      <w:r>
        <w:t xml:space="preserve"> Standalone diagnostic laboratories, outpatient clinics, routine pre-employment visa checkups.</w:t>
      </w:r>
    </w:p>
    <w:p>
      <w:pPr>
        <w:ind w:left="400"/>
        <w:rPr/>
      </w:pPr>
      <w:r>
        <w:t xml:space="preserve">• </w:t>
      </w:r>
      <w:r>
        <w:rPr>
          <w:b/>
        </w:rPr>
        <w:t xml:space="preserve">Detection Point:</w:t>
      </w:r>
      <w:r>
        <w:t xml:space="preserve"> Detected incidentally during annual checkups, corporate medical exams, or routine diabetes consultations.</w:t>
      </w:r>
    </w:p>
    <w:p>
      <w:pPr>
        <w:ind w:left="400"/>
        <w:rPr/>
      </w:pPr>
      <w:r>
        <w:t xml:space="preserve">• </w:t>
      </w:r>
      <w:r>
        <w:rPr>
          <w:b/>
        </w:rPr>
        <w:t xml:space="preserve">Current Action:</w:t>
      </w:r>
      <w:r>
        <w:t xml:space="preserve"> If serum creatinine is in standard reference ranges or eGFR </w:t>
      </w:r>
      <w:r>
        <w:rPr>
          <w:i/>
        </w:rPr>
        <w:t xml:space="preserve">&gt;60\text{ mL/min/1.73m}^2</w:t>
      </w:r>
      <w:r>
        <w:t xml:space="preserve">, results are labeled "Normal." uACR testing is ordered in </w:t>
      </w:r>
      <w:r>
        <w:rPr>
          <w:i/>
        </w:rPr>
        <w:t xml:space="preserve">&lt;15\%</w:t>
      </w:r>
      <w:r>
        <w:t xml:space="preserve"> of diabetic patients.</w:t>
      </w:r>
    </w:p>
    <w:p>
      <w:pPr>
        <w:ind w:left="400"/>
        <w:rPr/>
      </w:pPr>
      <w:r>
        <w:t xml:space="preserve">• </w:t>
      </w:r>
      <w:r>
        <w:rPr>
          <w:b/>
        </w:rPr>
        <w:t xml:space="preserve">Breakdown Points:</w:t>
      </w:r>
      <w:r>
        <w:t xml:space="preserve"> Creatinine spikes only after 50% of nephrons are lost; general practitioners fear expected 10–25% benign hemodynamic dips upon initiating SGLT2 inhibitors; asymptomatic patients feel healthy and drop out.</w:t>
      </w:r>
    </w:p>
    <w:p>
      <w:pPr>
        <w:ind w:left="400"/>
        <w:rPr/>
      </w:pPr>
      <w:r>
        <w:t xml:space="preserve">• </w:t>
      </w:r>
      <w:r>
        <w:rPr>
          <w:b/>
        </w:rPr>
        <w:t xml:space="preserve">Preventable Outcome &amp; Evidence:</w:t>
      </w:r>
      <w:r>
        <w:t xml:space="preserve"> End-Stage Kidney Disease (ESKD) requiring lifelong hemodialysis (\</w:t>
      </w:r>
      <w:r>
        <w:rPr>
          <w:i/>
        </w:rPr>
        <w:t xml:space="preserve">35k–\</w:t>
      </w:r>
      <w:r>
        <w:t xml:space="preserve">60k/patient/yr). Class 1A SGLT2 inhibitors yield a </w:t>
      </w:r>
      <w:r>
        <w:rPr>
          <w:b/>
        </w:rPr>
        <w:t xml:space="preserve">39% relative reduction</w:t>
      </w:r>
      <w:r>
        <w:t xml:space="preserve"> in kidney failure and mortality (NNT = 19; </w:t>
      </w:r>
      <w:r>
        <w:rPr>
          <w:i/>
        </w:rPr>
        <w:t xml:space="preserve">DAPA-CKD</w:t>
      </w:r>
      <w:r>
        <w:t xml:space="preserve">, </w:t>
      </w:r>
      <w:r>
        <w:rPr>
          <w:i/>
        </w:rPr>
        <w:t xml:space="preserve">NEJM</w:t>
      </w:r>
      <w:r>
        <w:t xml:space="preserve">).</w:t>
      </w:r>
    </w:p>
    <w:p>
      <w:pPr>
        <w:pStyle w:val="Heading3"/>
      </w:pPr>
      <w:r>
        <w:t xml:space="preserve">2. Hypertension &amp; Premature Cardiovascular Disease (ASCVD)</w:t>
      </w:r>
    </w:p>
    <w:p>
      <w:pPr>
        <w:ind w:left="400"/>
        <w:rPr/>
      </w:pPr>
      <w:r>
        <w:t xml:space="preserve">• </w:t>
      </w:r>
      <w:r>
        <w:rPr>
          <w:b/>
        </w:rPr>
        <w:t xml:space="preserve">Risk Signals:</w:t>
      </w:r>
      <w:r>
        <w:t xml:space="preserve"> Blood pressure readings (130–139 / 80–89 mmHg), lipid profiles, paper cardiology referral slips.</w:t>
      </w:r>
    </w:p>
    <w:p>
      <w:pPr>
        <w:ind w:left="400"/>
        <w:rPr/>
      </w:pPr>
      <w:r>
        <w:t xml:space="preserve">• </w:t>
      </w:r>
      <w:r>
        <w:rPr>
          <w:b/>
        </w:rPr>
        <w:t xml:space="preserve">Signal Owners:</w:t>
      </w:r>
      <w:r>
        <w:t xml:space="preserve"> Patient non-connected home digital cuffs, community pharmacies, dental clinics.</w:t>
      </w:r>
    </w:p>
    <w:p>
      <w:pPr>
        <w:ind w:left="400"/>
        <w:rPr/>
      </w:pPr>
      <w:r>
        <w:t xml:space="preserve">• </w:t>
      </w:r>
      <w:r>
        <w:rPr>
          <w:b/>
        </w:rPr>
        <w:t xml:space="preserve">Detection Point:</w:t>
      </w:r>
      <w:r>
        <w:t xml:space="preserve"> Opportunistic checks during acute illness (headache, fever) or pharmacy visits.</w:t>
      </w:r>
    </w:p>
    <w:p>
      <w:pPr>
        <w:ind w:left="400"/>
        <w:rPr/>
      </w:pPr>
      <w:r>
        <w:t xml:space="preserve">• </w:t>
      </w:r>
      <w:r>
        <w:rPr>
          <w:b/>
        </w:rPr>
        <w:t xml:space="preserve">Current Action:</w:t>
      </w:r>
      <w:r>
        <w:t xml:space="preserve"> Dismissed as "white-coat effect" or transient pain; patients advised to "cut down salt and recheck next year." No out-of-office protocol (HBPM) initiated.</w:t>
      </w:r>
    </w:p>
    <w:p>
      <w:pPr>
        <w:ind w:left="400"/>
        <w:rPr/>
      </w:pPr>
      <w:r>
        <w:t xml:space="preserve">• </w:t>
      </w:r>
      <w:r>
        <w:rPr>
          <w:b/>
        </w:rPr>
        <w:t xml:space="preserve">Breakdown Points:</w:t>
      </w:r>
      <w:r>
        <w:t xml:space="preserve"> Non-connected 7-segment LCD cuffs keep data siloed; paper hospital referral letters result in 35% missed appointments.</w:t>
      </w:r>
    </w:p>
    <w:p>
      <w:pPr>
        <w:ind w:left="400"/>
        <w:rPr/>
      </w:pPr>
      <w:r>
        <w:t xml:space="preserve">• </w:t>
      </w:r>
      <w:r>
        <w:rPr>
          <w:b/>
        </w:rPr>
        <w:t xml:space="preserve">Preventable Outcome &amp; Evidence:</w:t>
      </w:r>
      <w:r>
        <w:t xml:space="preserve"> Disabling stroke and myocardial infarction. Titrating anti-hypertensives to SBP </w:t>
      </w:r>
      <w:r>
        <w:rPr>
          <w:i/>
        </w:rPr>
        <w:t xml:space="preserve">&lt;130\text{ mmHg}</w:t>
      </w:r>
      <w:r>
        <w:t xml:space="preserve"> reduces major adverse cardiovascular events (MACE) by </w:t>
      </w:r>
      <w:r>
        <w:rPr>
          <w:b/>
        </w:rPr>
        <w:t xml:space="preserve">25%</w:t>
      </w:r>
      <w:r>
        <w:t xml:space="preserve"> (</w:t>
      </w:r>
      <w:r>
        <w:rPr>
          <w:i/>
        </w:rPr>
        <w:t xml:space="preserve">SPRINT Trial</w:t>
      </w:r>
      <w:r>
        <w:t xml:space="preserve">).</w:t>
      </w:r>
    </w:p>
    <w:p>
      <w:pPr>
        <w:pStyle w:val="Heading3"/>
      </w:pPr>
      <w:r>
        <w:t xml:space="preserve">3. Climate Heat Strain &amp; Industrial Occupational Nephropathy (CKDu)</w:t>
      </w:r>
    </w:p>
    <w:p>
      <w:pPr>
        <w:ind w:left="400"/>
        <w:rPr/>
      </w:pPr>
      <w:r>
        <w:t xml:space="preserve">• </w:t>
      </w:r>
      <w:r>
        <w:rPr>
          <w:b/>
        </w:rPr>
        <w:t xml:space="preserve">Risk Signals:</w:t>
      </w:r>
      <w:r>
        <w:t xml:space="preserve"> Declared pre-shift sleep (</w:t>
      </w:r>
      <w:r>
        <w:rPr>
          <w:i/>
        </w:rPr>
        <w:t xml:space="preserve">&lt;5\text{ h}</w:t>
      </w:r>
      <w:r>
        <w:t xml:space="preserve">), heat-sensitizing medication usage, urine specific gravity (USG </w:t>
      </w:r>
      <w:r>
        <w:rPr>
          <w:i/>
        </w:rPr>
        <w:t xml:space="preserve">≥ 1.025</w:t>
      </w:r>
      <w:r>
        <w:t xml:space="preserve">), analog Wet-Bulb Globe Temperature (WBGT </w:t>
      </w:r>
      <w:r>
        <w:rPr>
          <w:i/>
        </w:rPr>
        <w:t xml:space="preserve">&gt;32^\circ\text{C}</w:t>
      </w:r>
      <w:r>
        <w:t xml:space="preserve">).</w:t>
      </w:r>
    </w:p>
    <w:p>
      <w:pPr>
        <w:ind w:left="400"/>
        <w:rPr/>
      </w:pPr>
      <w:r>
        <w:t xml:space="preserve">• </w:t>
      </w:r>
      <w:r>
        <w:rPr>
          <w:b/>
        </w:rPr>
        <w:t xml:space="preserve">Signal Owners:</w:t>
      </w:r>
      <w:r>
        <w:t xml:space="preserve"> Migrant outdoor construction workers, site safety foremen, first-aid tent nurses.</w:t>
      </w:r>
    </w:p>
    <w:p>
      <w:pPr>
        <w:ind w:left="400"/>
        <w:rPr/>
      </w:pPr>
      <w:r>
        <w:t xml:space="preserve">• </w:t>
      </w:r>
      <w:r>
        <w:rPr>
          <w:b/>
        </w:rPr>
        <w:t xml:space="preserve">Detection Point:</w:t>
      </w:r>
      <w:r>
        <w:t xml:space="preserve"> 6:00 AM gate entry or midday first-aid visits for muscle cramps and dizziness.</w:t>
      </w:r>
    </w:p>
    <w:p>
      <w:pPr>
        <w:ind w:left="400"/>
        <w:rPr/>
      </w:pPr>
      <w:r>
        <w:t xml:space="preserve">• </w:t>
      </w:r>
      <w:r>
        <w:rPr>
          <w:b/>
        </w:rPr>
        <w:t xml:space="preserve">Current Action:</w:t>
      </w:r>
      <w:r>
        <w:t xml:space="preserve"> Foremen sign paper clipboards without reading; analog weather dials are unlogged; workers push through until acute physical collapse.</w:t>
      </w:r>
    </w:p>
    <w:p>
      <w:pPr>
        <w:ind w:left="400"/>
        <w:rPr/>
      </w:pPr>
      <w:r>
        <w:t xml:space="preserve">• </w:t>
      </w:r>
      <w:r>
        <w:rPr>
          <w:b/>
        </w:rPr>
        <w:t xml:space="preserve">Breakdown Points:</w:t>
      </w:r>
      <w:r>
        <w:t xml:space="preserve"> Wearable smartwatches fail in 45°C+ heat and trigger surveillance paranoia; paper check-in sheets are unparsed.</w:t>
      </w:r>
    </w:p>
    <w:p>
      <w:pPr>
        <w:ind w:left="400"/>
        <w:rPr/>
      </w:pPr>
      <w:r>
        <w:t xml:space="preserve">• </w:t>
      </w:r>
      <w:r>
        <w:rPr>
          <w:b/>
        </w:rPr>
        <w:t xml:space="preserve">Preventable Outcome &amp; Evidence:</w:t>
      </w:r>
      <w:r>
        <w:t xml:space="preserve"> Acute heat stroke and chronic subclinical acute kidney injury (AKI) progressing to CKDu. Calibrated work-rest cycles reduce heat illness by </w:t>
      </w:r>
      <w:r>
        <w:rPr>
          <w:b/>
        </w:rPr>
        <w:t xml:space="preserve">&gt;75%</w:t>
      </w:r>
      <w:r>
        <w:t xml:space="preserve"> (</w:t>
      </w:r>
      <w:r>
        <w:rPr>
          <w:i/>
        </w:rPr>
        <w:t xml:space="preserve">NIOSH Guidelines</w:t>
      </w:r>
      <w:r>
        <w:t xml:space="preserve">).</w:t>
      </w:r>
    </w:p>
    <w:p>
      <w:pPr>
        <w:pStyle w:val="Heading3"/>
      </w:pPr>
      <w:r>
        <w:t xml:space="preserve">4. Neurocognitive Decline &amp; Brain Health (Prodromal Dementia)</w:t>
      </w:r>
    </w:p>
    <w:p>
      <w:pPr>
        <w:ind w:left="400"/>
        <w:rPr/>
      </w:pPr>
      <w:r>
        <w:t xml:space="preserve">• </w:t>
      </w:r>
      <w:r>
        <w:rPr>
          <w:b/>
        </w:rPr>
        <w:t xml:space="preserve">Risk Signals:</w:t>
      </w:r>
      <w:r>
        <w:t xml:space="preserve"> Geometric stroke deviations on paper Clock Drawing Tests (CDT), paper prescriptions with Anticholinergic Cognitive Burden (ACB </w:t>
      </w:r>
      <w:r>
        <w:rPr>
          <w:i/>
        </w:rPr>
        <w:t xml:space="preserve">≥ 3</w:t>
      </w:r>
      <w:r>
        <w:t xml:space="preserve">), serum B12, TSH.</w:t>
      </w:r>
    </w:p>
    <w:p>
      <w:pPr>
        <w:ind w:left="400"/>
        <w:rPr/>
      </w:pPr>
      <w:r>
        <w:t xml:space="preserve">• </w:t>
      </w:r>
      <w:r>
        <w:rPr>
          <w:b/>
        </w:rPr>
        <w:t xml:space="preserve">Signal Owners:</w:t>
      </w:r>
      <w:r>
        <w:t xml:space="preserve"> Primary care family clinics, memory clinics, community geriatrics outreach.</w:t>
      </w:r>
    </w:p>
    <w:p>
      <w:pPr>
        <w:ind w:left="400"/>
        <w:rPr/>
      </w:pPr>
      <w:r>
        <w:t xml:space="preserve">• </w:t>
      </w:r>
      <w:r>
        <w:rPr>
          <w:b/>
        </w:rPr>
        <w:t xml:space="preserve">Detection Point:</w:t>
      </w:r>
      <w:r>
        <w:t xml:space="preserve"> Annual elderly checkups or family-reported memory complaints.</w:t>
      </w:r>
    </w:p>
    <w:p>
      <w:pPr>
        <w:ind w:left="400"/>
        <w:rPr/>
      </w:pPr>
      <w:r>
        <w:t xml:space="preserve">• </w:t>
      </w:r>
      <w:r>
        <w:rPr>
          <w:b/>
        </w:rPr>
        <w:t xml:space="preserve">Current Action:</w:t>
      </w:r>
      <w:r>
        <w:t xml:space="preserve"> Subjective pass/fail scoring by primary care doctors; drawings filed in physical charts; reversible drug/metabolic mimics overlooked.</w:t>
      </w:r>
    </w:p>
    <w:p>
      <w:pPr>
        <w:ind w:left="400"/>
        <w:rPr/>
      </w:pPr>
      <w:r>
        <w:t xml:space="preserve">• </w:t>
      </w:r>
      <w:r>
        <w:rPr>
          <w:b/>
        </w:rPr>
        <w:t xml:space="preserve">Breakdown Points:</w:t>
      </w:r>
      <w:r>
        <w:t xml:space="preserve"> Digital tablet tests trigger high false-positive rates (up to 40%) due to tremors/tech anxiety; sub-millimeter stroke tortuosity is invisible to gross human inspection.</w:t>
      </w:r>
    </w:p>
    <w:p>
      <w:pPr>
        <w:ind w:left="400"/>
        <w:rPr/>
      </w:pPr>
      <w:r>
        <w:t xml:space="preserve">• </w:t>
      </w:r>
      <w:r>
        <w:rPr>
          <w:b/>
        </w:rPr>
        <w:t xml:space="preserve">Preventable Outcome &amp; Evidence:</w:t>
      </w:r>
      <w:r>
        <w:t xml:space="preserve"> Unchecked progression from MCI to dementia. Correcting reversible mimics eliminates </w:t>
      </w:r>
      <w:r>
        <w:rPr>
          <w:b/>
        </w:rPr>
        <w:t xml:space="preserve">up to 30% of pseudo-dementia cases</w:t>
      </w:r>
      <w:r>
        <w:t xml:space="preserve"> (</w:t>
      </w:r>
      <w:r>
        <w:rPr>
          <w:i/>
        </w:rPr>
        <w:t xml:space="preserve">Lancet Commission on Dementia, 2024</w:t>
      </w:r>
      <w:r>
        <w:t xml:space="preserve">).</w:t>
      </w:r>
    </w:p>
    <w:p>
      <w:pPr>
        <w:pStyle w:val="Heading3"/>
      </w:pPr>
      <w:r>
        <w:t xml:space="preserve">5. Industrial Respiratory Impairment &amp; Toxic Inhalation</w:t>
      </w:r>
    </w:p>
    <w:p>
      <w:pPr>
        <w:ind w:left="400"/>
        <w:rPr/>
      </w:pPr>
      <w:r>
        <w:t xml:space="preserve">• </w:t>
      </w:r>
      <w:r>
        <w:rPr>
          <w:b/>
        </w:rPr>
        <w:t xml:space="preserve">Risk Signals:</w:t>
      </w:r>
      <w:r>
        <w:t xml:space="preserve"> Spirometry thermal paper curves (FEV1, FVC, cross-shift decline), audiograms (4000 Hz notch), daily chemical spray manifests.</w:t>
      </w:r>
    </w:p>
    <w:p>
      <w:pPr>
        <w:ind w:left="400"/>
        <w:rPr/>
      </w:pPr>
      <w:r>
        <w:t xml:space="preserve">• </w:t>
      </w:r>
      <w:r>
        <w:rPr>
          <w:b/>
        </w:rPr>
        <w:t xml:space="preserve">Signal Owners:</w:t>
      </w:r>
      <w:r>
        <w:t xml:space="preserve"> Factory occupational safety clinics (smelters, coating plants, chemical workshops).</w:t>
      </w:r>
    </w:p>
    <w:p>
      <w:pPr>
        <w:ind w:left="400"/>
        <w:rPr/>
      </w:pPr>
      <w:r>
        <w:t xml:space="preserve">• </w:t>
      </w:r>
      <w:r>
        <w:rPr>
          <w:b/>
        </w:rPr>
        <w:t xml:space="preserve">Detection Point:</w:t>
      </w:r>
      <w:r>
        <w:t xml:space="preserve"> Mandatory periodic occupational surveillance exams.</w:t>
      </w:r>
    </w:p>
    <w:p>
      <w:pPr>
        <w:ind w:left="400"/>
        <w:rPr/>
      </w:pPr>
      <w:r>
        <w:t xml:space="preserve">• </w:t>
      </w:r>
      <w:r>
        <w:rPr>
          <w:b/>
        </w:rPr>
        <w:t xml:space="preserve">Current Action:</w:t>
      </w:r>
      <w:r>
        <w:t xml:space="preserve"> Printouts stapled into paper folders; decline identified only after workers develop overt dyspnea.</w:t>
      </w:r>
    </w:p>
    <w:p>
      <w:pPr>
        <w:ind w:left="400"/>
        <w:rPr/>
      </w:pPr>
      <w:r>
        <w:t xml:space="preserve">• </w:t>
      </w:r>
      <w:r>
        <w:rPr>
          <w:b/>
        </w:rPr>
        <w:t xml:space="preserve">Breakdown Points:</w:t>
      </w:r>
      <w:r>
        <w:t xml:space="preserve"> Thermal paper fades in heat; lack of computerized slope calculation hides progressive loss (</w:t>
      </w:r>
      <w:r>
        <w:rPr>
          <w:i/>
        </w:rPr>
        <w:t xml:space="preserve">&gt;15\%/\text{year}</w:t>
      </w:r>
      <w:r>
        <w:t xml:space="preserve">).</w:t>
      </w:r>
    </w:p>
    <w:p>
      <w:pPr>
        <w:ind w:left="400"/>
        <w:rPr/>
      </w:pPr>
      <w:r>
        <w:t xml:space="preserve">• </w:t>
      </w:r>
      <w:r>
        <w:rPr>
          <w:b/>
        </w:rPr>
        <w:t xml:space="preserve">Preventable Outcome &amp; Evidence:</w:t>
      </w:r>
      <w:r>
        <w:t xml:space="preserve"> Irreversible silicosis and occupational asthma (</w:t>
      </w:r>
      <w:r>
        <w:rPr>
          <w:i/>
        </w:rPr>
        <w:t xml:space="preserve">OSHA Crystalline Silica Standard</w:t>
      </w:r>
      <w:r>
        <w:t xml:space="preserve">).</w:t>
      </w:r>
    </w:p>
    <w:p>
      <w:pPr>
        <w:pStyle w:val="Heading3"/>
      </w:pPr>
      <w:r>
        <w:t xml:space="preserve">6. Pediatric Developmental Delay &amp; School Health / Vaccine Gaps</w:t>
      </w:r>
    </w:p>
    <w:p>
      <w:pPr>
        <w:ind w:left="400"/>
        <w:rPr/>
      </w:pPr>
      <w:r>
        <w:t xml:space="preserve">• </w:t>
      </w:r>
      <w:r>
        <w:rPr>
          <w:b/>
        </w:rPr>
        <w:t xml:space="preserve">Risk Signals:</w:t>
      </w:r>
      <w:r>
        <w:t xml:space="preserve"> Paper Ages &amp; Stages Questionnaires (ASQ-3), M-CHAT-R forms, heterogeneous international paper vaccination booklets.</w:t>
      </w:r>
    </w:p>
    <w:p>
      <w:pPr>
        <w:ind w:left="400"/>
        <w:rPr/>
      </w:pPr>
      <w:r>
        <w:t xml:space="preserve">• </w:t>
      </w:r>
      <w:r>
        <w:rPr>
          <w:b/>
        </w:rPr>
        <w:t xml:space="preserve">Signal Owners:</w:t>
      </w:r>
      <w:r>
        <w:t xml:space="preserve"> Parents in pediatric waiting rooms, school nurses, private pediatric centers.</w:t>
      </w:r>
    </w:p>
    <w:p>
      <w:pPr>
        <w:ind w:left="400"/>
        <w:rPr/>
      </w:pPr>
      <w:r>
        <w:t xml:space="preserve">• </w:t>
      </w:r>
      <w:r>
        <w:rPr>
          <w:b/>
        </w:rPr>
        <w:t xml:space="preserve">Detection Point:</w:t>
      </w:r>
      <w:r>
        <w:t xml:space="preserve"> Well-Child visits at 9, 18, 24, and 36 months, or school enrollment.</w:t>
      </w:r>
    </w:p>
    <w:p>
      <w:pPr>
        <w:ind w:left="400"/>
        <w:rPr/>
      </w:pPr>
      <w:r>
        <w:t xml:space="preserve">• </w:t>
      </w:r>
      <w:r>
        <w:rPr>
          <w:b/>
        </w:rPr>
        <w:t xml:space="preserve">Current Action:</w:t>
      </w:r>
      <w:r>
        <w:t xml:space="preserve"> Multi-page forms hand-calculated; borderline scores dismissed with "let's re-evaluate next year."</w:t>
      </w:r>
    </w:p>
    <w:p>
      <w:pPr>
        <w:ind w:left="400"/>
        <w:rPr/>
      </w:pPr>
      <w:r>
        <w:t xml:space="preserve">• </w:t>
      </w:r>
      <w:r>
        <w:rPr>
          <w:b/>
        </w:rPr>
        <w:t xml:space="preserve">Breakdown Points:</w:t>
      </w:r>
      <w:r>
        <w:t xml:space="preserve"> Expatriate vaccination cards require 15–20 min manual transcription per visit; critical neuroplastic intervention windows are lost.</w:t>
      </w:r>
    </w:p>
    <w:p>
      <w:pPr>
        <w:ind w:left="400"/>
        <w:rPr/>
      </w:pPr>
      <w:r>
        <w:t xml:space="preserve">• </w:t>
      </w:r>
      <w:r>
        <w:rPr>
          <w:b/>
        </w:rPr>
        <w:t xml:space="preserve">Preventable Outcome &amp; Evidence:</w:t>
      </w:r>
      <w:r>
        <w:t xml:space="preserve"> Permanent speech and motor deficits. Early intervention initiated before age 3 yields a </w:t>
      </w:r>
      <w:r>
        <w:rPr>
          <w:b/>
        </w:rPr>
        <w:t xml:space="preserve">200% greater improvement</w:t>
      </w:r>
      <w:r>
        <w:t xml:space="preserve"> in adaptive outcomes (</w:t>
      </w:r>
      <w:r>
        <w:rPr>
          <w:i/>
        </w:rPr>
        <w:t xml:space="preserve">AAP Guidelines</w:t>
      </w:r>
      <w:r>
        <w:t xml:space="preserve">).</w:t>
      </w:r>
    </w:p>
    <w:p>
      <w:pPr>
        <w:pStyle w:val="Heading3"/>
      </w:pPr>
      <w:r>
        <w:t xml:space="preserve">7. Familial, Premarital &amp; Genetic Cardiometabolic Risk</w:t>
      </w:r>
    </w:p>
    <w:p>
      <w:pPr>
        <w:ind w:left="400"/>
        <w:rPr/>
      </w:pPr>
      <w:r>
        <w:t xml:space="preserve">• </w:t>
      </w:r>
      <w:r>
        <w:rPr>
          <w:b/>
        </w:rPr>
        <w:t xml:space="preserve">Risk Signals:</w:t>
      </w:r>
      <w:r>
        <w:t xml:space="preserve"> Hand-drawn family pedigree charts, premarital screening certificates (</w:t>
      </w:r>
      <w:r>
        <w:rPr>
          <w:i/>
        </w:rPr>
        <w:t xml:space="preserve">Al-Fahas</w:t>
      </w:r>
      <w:r>
        <w:t xml:space="preserve">), external laboratory printouts.</w:t>
      </w:r>
    </w:p>
    <w:p>
      <w:pPr>
        <w:ind w:left="400"/>
        <w:rPr/>
      </w:pPr>
      <w:r>
        <w:t xml:space="preserve">• </w:t>
      </w:r>
      <w:r>
        <w:rPr>
          <w:b/>
        </w:rPr>
        <w:t xml:space="preserve">Signal Owners:</w:t>
      </w:r>
      <w:r>
        <w:t xml:space="preserve"> Genetic counselors, premarital screening clinics, private diagnostic centers.</w:t>
      </w:r>
    </w:p>
    <w:p>
      <w:pPr>
        <w:ind w:left="400"/>
        <w:rPr/>
      </w:pPr>
      <w:r>
        <w:t xml:space="preserve">• </w:t>
      </w:r>
      <w:r>
        <w:rPr>
          <w:b/>
        </w:rPr>
        <w:t xml:space="preserve">Detection Point:</w:t>
      </w:r>
      <w:r>
        <w:t xml:space="preserve"> Mandatory premarital screening consultations.</w:t>
      </w:r>
    </w:p>
    <w:p>
      <w:pPr>
        <w:ind w:left="400"/>
        <w:rPr/>
      </w:pPr>
      <w:r>
        <w:t xml:space="preserve">• </w:t>
      </w:r>
      <w:r>
        <w:rPr>
          <w:b/>
        </w:rPr>
        <w:t xml:space="preserve">Current Action:</w:t>
      </w:r>
      <w:r>
        <w:t xml:space="preserve"> Drawn by hand on paper; stored as static raster scans outside HIE databases.</w:t>
      </w:r>
    </w:p>
    <w:p>
      <w:pPr>
        <w:ind w:left="400"/>
        <w:rPr/>
      </w:pPr>
      <w:r>
        <w:t xml:space="preserve">• </w:t>
      </w:r>
      <w:r>
        <w:rPr>
          <w:b/>
        </w:rPr>
        <w:t xml:space="preserve">Breakdown Points:</w:t>
      </w:r>
      <w:r>
        <w:t xml:space="preserve"> Complex graph relationships cannot be queried by EHR algorithms; cascade screening opportunities are missed.</w:t>
      </w:r>
    </w:p>
    <w:p>
      <w:pPr>
        <w:ind w:left="400"/>
        <w:rPr/>
      </w:pPr>
      <w:r>
        <w:t xml:space="preserve">• </w:t>
      </w:r>
      <w:r>
        <w:rPr>
          <w:b/>
        </w:rPr>
        <w:t xml:space="preserve">Preventable Outcome &amp; Evidence:</w:t>
      </w:r>
      <w:r>
        <w:t xml:space="preserve"> Premature fatal cardiac events in familial hypercholesterolemia. Early identification reduces premature mortality by </w:t>
      </w:r>
      <w:r>
        <w:rPr>
          <w:b/>
        </w:rPr>
        <w:t xml:space="preserve">35%</w:t>
      </w:r>
      <w:r>
        <w:t xml:space="preserve"> (</w:t>
      </w:r>
      <w:r>
        <w:rPr>
          <w:i/>
        </w:rPr>
        <w:t xml:space="preserve">ACMG Guidelines</w:t>
      </w:r>
      <w:r>
        <w:t xml:space="preserve">).</w:t>
      </w:r>
    </w:p>
    <w:p>
      <w:pPr>
        <w:pStyle w:val="Heading3"/>
      </w:pPr>
      <w:r>
        <w:t xml:space="preserve">8. Syndromic Early Warning &amp; Grassroots Census</w:t>
      </w:r>
    </w:p>
    <w:p>
      <w:pPr>
        <w:ind w:left="400"/>
        <w:rPr/>
      </w:pPr>
      <w:r>
        <w:t xml:space="preserve">• </w:t>
      </w:r>
      <w:r>
        <w:rPr>
          <w:b/>
        </w:rPr>
        <w:t xml:space="preserve">Risk Signals:</w:t>
      </w:r>
      <w:r>
        <w:t xml:space="preserve"> Doctor medical leave certificates (</w:t>
      </w:r>
      <w:r>
        <w:rPr>
          <w:i/>
        </w:rPr>
        <w:t xml:space="preserve">Surat Sakit</w:t>
      </w:r>
      <w:r>
        <w:t xml:space="preserve">), physical clinic ledger books (</w:t>
      </w:r>
      <w:r>
        <w:rPr>
          <w:i/>
        </w:rPr>
        <w:t xml:space="preserve">Buku Register Kohort PTM</w:t>
      </w:r>
      <w:r>
        <w:t xml:space="preserve">), pharmacy sales logs.</w:t>
      </w:r>
    </w:p>
    <w:p>
      <w:pPr>
        <w:ind w:left="400"/>
        <w:rPr/>
      </w:pPr>
      <w:r>
        <w:t xml:space="preserve">• </w:t>
      </w:r>
      <w:r>
        <w:rPr>
          <w:b/>
        </w:rPr>
        <w:t xml:space="preserve">Signal Owners:</w:t>
      </w:r>
      <w:r>
        <w:t xml:space="preserve"> Enterprise HR departments, remote primary care clinics (</w:t>
      </w:r>
      <w:r>
        <w:rPr>
          <w:i/>
        </w:rPr>
        <w:t xml:space="preserve">Pustu</w:t>
      </w:r>
      <w:r>
        <w:t xml:space="preserve">), village health cadres (</w:t>
      </w:r>
      <w:r>
        <w:rPr>
          <w:i/>
        </w:rPr>
        <w:t xml:space="preserve">Kader</w:t>
      </w:r>
      <w:r>
        <w:t xml:space="preserve">).</w:t>
      </w:r>
    </w:p>
    <w:p>
      <w:pPr>
        <w:ind w:left="400"/>
        <w:rPr/>
      </w:pPr>
      <w:r>
        <w:t xml:space="preserve">• </w:t>
      </w:r>
      <w:r>
        <w:rPr>
          <w:b/>
        </w:rPr>
        <w:t xml:space="preserve">Detection Point:</w:t>
      </w:r>
      <w:r>
        <w:t xml:space="preserve"> Employee sick leave submission or monthly community health screening.</w:t>
      </w:r>
    </w:p>
    <w:p>
      <w:pPr>
        <w:ind w:left="400"/>
        <w:rPr/>
      </w:pPr>
      <w:r>
        <w:t xml:space="preserve">• </w:t>
      </w:r>
      <w:r>
        <w:rPr>
          <w:b/>
        </w:rPr>
        <w:t xml:space="preserve">Current Action:</w:t>
      </w:r>
      <w:r>
        <w:t xml:space="preserve"> HR validates dates for payroll deductions and discards clinical diagnoses; village ledger books sit for 3–4 weeks before manual entry.</w:t>
      </w:r>
    </w:p>
    <w:p>
      <w:pPr>
        <w:ind w:left="400"/>
        <w:rPr/>
      </w:pPr>
      <w:r>
        <w:t xml:space="preserve">• </w:t>
      </w:r>
      <w:r>
        <w:rPr>
          <w:b/>
        </w:rPr>
        <w:t xml:space="preserve">Breakdown Points:</w:t>
      </w:r>
      <w:r>
        <w:t xml:space="preserve"> The "Administrative Black Hole" leaves public health blind to active outbreaks.</w:t>
      </w:r>
    </w:p>
    <w:p>
      <w:pPr>
        <w:ind w:left="400"/>
        <w:rPr/>
      </w:pPr>
      <w:r>
        <w:t xml:space="preserve">• </w:t>
      </w:r>
      <w:r>
        <w:rPr>
          <w:b/>
        </w:rPr>
        <w:t xml:space="preserve">Preventable Outcome &amp; Evidence:</w:t>
      </w:r>
      <w:r>
        <w:t xml:space="preserve"> Factory-wide operational shutdowns and uncontained community epidemics. Syndromic ambulatory surveillance provides a </w:t>
      </w:r>
      <w:r>
        <w:rPr>
          <w:b/>
        </w:rPr>
        <w:t xml:space="preserve">7 to 12-day early warning lead time</w:t>
      </w:r>
      <w:r>
        <w:t xml:space="preserve"> (</w:t>
      </w:r>
      <w:r>
        <w:rPr>
          <w:i/>
        </w:rPr>
        <w:t xml:space="preserve">CDC EARS</w:t>
      </w:r>
      <w:r>
        <w:t xml:space="preserve">).</w:t>
      </w:r>
    </w:p>
    <w:p>
      <w:pPr>
        <w:pBdr>
          <w:bottom w:val="single" w:sz="8" w:space="8" w:color="CBD5E1"/>
        </w:pBdr>
      </w:pPr>
    </w:p>
    <w:p>
      <w:pPr>
        <w:pStyle w:val="Heading2"/>
      </w:pPr>
      <w:r>
        <w:t xml:space="preserve">5. Section 4: The “Signal-to-Action” Translation Gaps (Step 3)</w:t>
      </w:r>
    </w:p>
    <w:p>
      <w:pPr>
        <w:pStyle w:val="Heading3"/>
      </w:pPr>
      <w:r>
        <w:t xml:space="preserve">5.1 The 10 Systemic Breakdown Modes</w:t>
      </w:r>
    </w:p>
    <w:p>
      <w:pPr>
        <w:ind w:left="400"/>
      </w:pPr>
      <w:r>
        <w:t xml:space="preserve">1. </w:t>
      </w:r>
      <w:r>
        <w:rPr>
          <w:b/>
        </w:rPr>
        <w:t xml:space="preserve">Signal $\rightarrow$ No Awareness:</w:t>
      </w:r>
      <w:r>
        <w:t xml:space="preserve"> Cryptic numerical values on paper lab slips; asymptomatic patients feel healthy and ignore risk.</w:t>
      </w:r>
    </w:p>
    <w:p>
      <w:pPr>
        <w:ind w:left="400"/>
      </w:pPr>
      <w:r>
        <w:t xml:space="preserve">2. </w:t>
      </w:r>
      <w:r>
        <w:rPr>
          <w:b/>
        </w:rPr>
        <w:t xml:space="preserve">Signal $\rightarrow$ Fragmented / Dark Data:</w:t>
      </w:r>
      <w:r>
        <w:t xml:space="preserve"> Biomarkers trapped in HR leave portals, paper archives, or flat PDF attachments.</w:t>
      </w:r>
    </w:p>
    <w:p>
      <w:pPr>
        <w:ind w:left="400"/>
      </w:pPr>
      <w:r>
        <w:t xml:space="preserve">3. </w:t>
      </w:r>
      <w:r>
        <w:rPr>
          <w:b/>
        </w:rPr>
        <w:t xml:space="preserve">Signal $\rightarrow$ No Personalized Action:</w:t>
      </w:r>
      <w:r>
        <w:t xml:space="preserve"> Generic verbal advice ("eat less salt") without quantified risk trajectories.</w:t>
      </w:r>
    </w:p>
    <w:p>
      <w:pPr>
        <w:ind w:left="400"/>
      </w:pPr>
      <w:r>
        <w:t xml:space="preserve">4. </w:t>
      </w:r>
      <w:r>
        <w:rPr>
          <w:b/>
        </w:rPr>
        <w:t xml:space="preserve">Signal $\rightarrow$ Clinician Therapeutic Inertia:</w:t>
      </w:r>
      <w:r>
        <w:t xml:space="preserve"> General practitioners hesitate to initiate organ-protective drugs due to fear of benign hemodynamic creatinine dips.</w:t>
      </w:r>
    </w:p>
    <w:p>
      <w:pPr>
        <w:ind w:left="400"/>
      </w:pPr>
      <w:r>
        <w:t xml:space="preserve">5. </w:t>
      </w:r>
      <w:r>
        <w:rPr>
          <w:b/>
        </w:rPr>
        <w:t xml:space="preserve">Signal $\rightarrow$ The "Wearable Fallacy":</w:t>
      </w:r>
      <w:r>
        <w:t xml:space="preserve"> Prescribing fragile, expensive (\$200) smartwatches that fail in 45°C heat and trigger worker surveillance resistance.</w:t>
      </w:r>
    </w:p>
    <w:p>
      <w:pPr>
        <w:ind w:left="400"/>
      </w:pPr>
      <w:r>
        <w:t xml:space="preserve">6. </w:t>
      </w:r>
      <w:r>
        <w:rPr>
          <w:b/>
        </w:rPr>
        <w:t xml:space="preserve">Signal $\rightarrow$ The "Digital Divide" Trap:</w:t>
      </w:r>
      <w:r>
        <w:t xml:space="preserve"> Elderly patients fail touchscreen tablet tests due to hand tremors and tech anxiety, generating false positives.</w:t>
      </w:r>
    </w:p>
    <w:p>
      <w:pPr>
        <w:ind w:left="400"/>
      </w:pPr>
      <w:r>
        <w:t xml:space="preserve">7. </w:t>
      </w:r>
      <w:r>
        <w:rPr>
          <w:b/>
        </w:rPr>
        <w:t xml:space="preserve">Signal $\rightarrow$ Reversible Mimics Missed:</w:t>
      </w:r>
      <w:r>
        <w:t xml:space="preserve"> Dementia diagnosed without evaluating anticholinergic drug burden (ACB) or thyroid/B12 labs.</w:t>
      </w:r>
    </w:p>
    <w:p>
      <w:pPr>
        <w:ind w:left="400"/>
      </w:pPr>
      <w:r>
        <w:t xml:space="preserve">8. </w:t>
      </w:r>
      <w:r>
        <w:rPr>
          <w:b/>
        </w:rPr>
        <w:t xml:space="preserve">Signal $\rightarrow$ Administrative Burnout:</w:t>
      </w:r>
      <w:r>
        <w:t xml:space="preserve"> Nurses spend 15–20 minutes transcribing paper expatriate vaccine cards and scoring ASQ questionnaires.</w:t>
      </w:r>
    </w:p>
    <w:p>
      <w:pPr>
        <w:ind w:left="400"/>
      </w:pPr>
      <w:r>
        <w:t xml:space="preserve">9. </w:t>
      </w:r>
      <w:r>
        <w:rPr>
          <w:b/>
        </w:rPr>
        <w:t xml:space="preserve">Signal $\rightarrow$ Grassroots Ingestion Latency:</w:t>
      </w:r>
      <w:r>
        <w:t xml:space="preserve"> Paper ledger books take 3–4 weeks to reach centralized public health registries.</w:t>
      </w:r>
    </w:p>
    <w:p>
      <w:pPr>
        <w:ind w:left="400"/>
      </w:pPr>
      <w:r>
        <w:t xml:space="preserve">10. </w:t>
      </w:r>
      <w:r>
        <w:rPr>
          <w:b/>
        </w:rPr>
        <w:t xml:space="preserve">Signal $\rightarrow$ Post-Screening Non-Adherence:</w:t>
      </w:r>
      <w:r>
        <w:t xml:space="preserve"> Prescriptions go unredeemed, and mandatory 4-week safety labs are never completed.</w:t>
      </w:r>
    </w:p>
    <w:p>
      <w:pPr>
        <w:pStyle w:val="Heading3"/>
      </w:pPr>
      <w:r>
        <w:t xml:space="preserve">5.2 The 5 Highest-Value Failure Archetypes</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subgraph Arch1 ["Archetype 1: Administrative Dark Data"]
            <w:br/>
                    A1["Doctor Sick Notes &amp; MCU Scans&lt;br/&gt;Trapped in HR Portals"] --&gt; A2["Used Only for Payroll / Attendance"]
            <w:br/>
                    A2 --&gt; A3["❌ Clinical Diagnosis Discarded"]
            <w:br/>
                    A3 --&gt; A4["Outbreaks Spread / Latent Disease Progresses"]
            <w:br/>
                end
            <w:br/>
            <w:br/>
                subgraph Arch2 ["Archetype 2: Diagnostic Blindspot &amp; Inertia"]
            <w:br/>
                    B1["Serum Creatinine &amp; Dipstick Ingested"] --&gt; B2["Static Normal Label eGFR &gt; 60&lt;br/&gt;Single Point in Time"]
            <w:br/>
                    B2 --&gt; B3["❌ Longitudinal Slope &amp; uACR Ignored"]
            <w:br/>
                    B3 --&gt; B4["Doctor Hesitates to Start SGLT2i Due to Dip Anxiety"]
            <w:br/>
                end
            <w:br/>
            <w:br/>
                subgraph Arch3 ["Archetype 3: The Wearable Fallacy"]
            <w:br/>
                    C1["Outdoor Work in 45°C+ UAE Heat"] --&gt; C2["Wearable Smartwatches Deployed"]
            <w:br/>
                    C2 --&gt; C3["❌ Thermal Throttling, Dust Occlusion, Worker Paranoia"]
            <w:br/>
                    C3 --&gt; C4["Zero Adherence &amp; Preventable Heatstroke / CKDu"]
            <w:br/>
                end
            <w:br/>
            <w:br/>
                subgraph Arch4 ["Archetype 4: Digital Divide in Brain Health"]
            <w:br/>
                    D1["Elderly Cognitive Screening Initiated"] --&gt; D2["Tablet Apps Trigger Tech Anxiety &amp; Tremor Bias&lt;br/&gt;Paper Clock Drawing Scored Subjectively"]
            <w:br/>
                    D2 --&gt; D3["❌ Sub-millimeter Micro-Tremors Unindexed&lt;br/&gt;Reversible Drug/Metabolic Causes Unchecked"]
            <w:br/>
                    D3 --&gt; D4["False Dementia Diagnoses &amp; 40% Inappropriate Referrals"]
            <w:br/>
                end
            <w:br/>
            <w:br/>
                subgraph Arch5 ["Archetype 5: Administrative Drag &amp; Lost Windows"]
            <w:br/>
                    E1["Multinational Expat Vaccine Cards &amp; ASQ Papers"] --&gt; E2["Manual Nurse Transcription (15-20 min/visit)"]
            <w:br/>
                    E2 --&gt; E3["❌ Borderline Scores Filed Away"]
            <w:br/>
                    E3 --&gt; E4["Critical Neurodevelopmental Window (&lt;3 yrs) Lost"]
            <w:br/>
                end
            <w:br/>
            <w:br/>
                style Arch1 fill:#fff1f2,stroke:#f43f5e
            <w:br/>
                style Arch2 fill:#fefce8,stroke:#ca8a04
            <w:br/>
                style Arch3 fill:#fef2f2,stroke:#ef4444
            <w:br/>
                style Arch4 fill:#eff6ff,stroke:#2563eb
            <w:br/>
                style Arch5 fill:#f0fdf4,stroke:#16a34a
          </w:t>
        </w:r>
      </w:p>
    </w:p>
    <w:p>
      <w:pPr>
        <w:pStyle w:val="Heading3"/>
      </w:pPr>
      <w:r>
        <w:t xml:space="preserve">5.3 The 6-Stage Prevention Continuum</w:t>
      </w:r>
    </w:p>
    <w:p>
      <w:pPr>
        <w:pStyle w:val="Normal"/>
      </w:pPr>
      <w:r>
        <w:t xml:space="preserve">Every competitive Population Health solution must formally address each transition: </w:t>
      </w:r>
      <w:r>
        <w:rPr>
          <w:i/>
        </w:rPr>
        <w:t xml:space="preserve"/>
      </w:r>
      <w:r>
        <w:t xml:space="preserve">\text{Risk Signal} \longrightarrow \text{Risk Prediction} \longrightarrow \text{Risk Stratification} \longrightarrow \text{Preventive Intervention} \longrightarrow \text{Care Escalation} \longrightarrow \text{Long-Term Management}</w:t>
      </w:r>
      <w:r>
        <w:rPr>
          <w:i/>
        </w:rPr>
        <w:t xml:space="preserve"/>
      </w:r>
    </w:p>
    <w:p>
      <w:pPr>
        <w:pBdr>
          <w:bottom w:val="single" w:sz="8" w:space="8" w:color="CBD5E1"/>
        </w:pBdr>
      </w:pPr>
    </w:p>
    <w:p>
      <w:pPr>
        <w:pStyle w:val="Heading2"/>
      </w:pPr>
      <w:r>
        <w:t xml:space="preserve">6. Section 5: Problem Opportunity Statements (Step 4)</w:t>
      </w:r>
    </w:p>
    <w:p>
      <w:pPr>
        <w:pStyle w:val="Heading3"/>
      </w:pPr>
      <w:r>
        <w:t xml:space="preserve">6.1 Problem 1 (P1): Asymptomatic Cardiorenal Disease (Early CKD / DKD)</w:t>
      </w:r>
    </w:p>
    <w:p>
      <w:pPr>
        <w:ind w:left="400"/>
        <w:rPr/>
      </w:pPr>
      <w:r>
        <w:t xml:space="preserve">• </w:t>
      </w:r>
      <w:r>
        <w:rPr>
          <w:b/>
        </w:rPr>
        <w:t xml:space="preserve">Who is at risk?</w:t>
      </w:r>
      <w:r>
        <w:t xml:space="preserve"> Hypertensive and type 2 diabetic adults with silent, progressive glomerular filtration loss (&gt;850,000 residents in UAE; &gt;20 million in Indonesia).</w:t>
      </w:r>
    </w:p>
    <w:p>
      <w:pPr>
        <w:ind w:left="400"/>
        <w:rPr/>
      </w:pPr>
      <w:r>
        <w:t xml:space="preserve">• </w:t>
      </w:r>
      <w:r>
        <w:rPr>
          <w:b/>
        </w:rPr>
        <w:t xml:space="preserve">What signal indicates the risk?</w:t>
      </w:r>
      <w:r>
        <w:t xml:space="preserve"> Serial serum creatinine printouts, dipstick proteinuria (</w:t>
      </w:r>
      <w:r>
        <w:rPr>
          <w:i/>
        </w:rPr>
        <w:t xml:space="preserve">≥ 1+</w:t>
      </w:r>
      <w:r>
        <w:t xml:space="preserve">), spot uACR, and accelerated longitudinal eGFR slope decline (</w:t>
      </w:r>
      <w:r>
        <w:rPr>
          <w:i/>
        </w:rPr>
        <w:t xml:space="preserve">&lt; -3\text{ mL/min/1.73m}^2/\text{year}</w:t>
      </w:r>
      <w:r>
        <w:t xml:space="preserve">).</w:t>
      </w:r>
    </w:p>
    <w:p>
      <w:pPr>
        <w:ind w:left="400"/>
        <w:rPr/>
      </w:pPr>
      <w:r>
        <w:t xml:space="preserve">• </w:t>
      </w:r>
      <w:r>
        <w:rPr>
          <w:b/>
        </w:rPr>
        <w:t xml:space="preserve">What preventive action should happen?</w:t>
      </w:r>
      <w:r>
        <w:t xml:space="preserve"> Timely initiation of Class 1A guideline-directed medical therapy (SGLT2 inhibitors + ARBs) and protocolized reassurance that an initial </w:t>
      </w:r>
      <w:r>
        <w:rPr>
          <w:i/>
        </w:rPr>
        <w:t xml:space="preserve">≤ 30\%</w:t>
      </w:r>
      <w:r>
        <w:t xml:space="preserve"> hemodynamic eGFR dip is expected and organ-protective (</w:t>
      </w:r>
      <w:r>
        <w:rPr>
          <w:i/>
        </w:rPr>
        <w:t xml:space="preserve">KDIGO 2024 Guidelines</w:t>
      </w:r>
      <w:r>
        <w:t xml:space="preserve">).</w:t>
      </w:r>
    </w:p>
    <w:p>
      <w:pPr>
        <w:ind w:left="400"/>
        <w:rPr/>
      </w:pPr>
      <w:r>
        <w:t xml:space="preserve">• </w:t>
      </w:r>
      <w:r>
        <w:rPr>
          <w:b/>
        </w:rPr>
        <w:t xml:space="preserve">Why does that action fail?</w:t>
      </w:r>
      <w:r>
        <w:t xml:space="preserve"> Creatinine appears "normal" until 50% of nephrons are destroyed; doctors lack slope calculators and fear hemodynamic dips; asymptomatic patients drop out.</w:t>
      </w:r>
    </w:p>
    <w:p>
      <w:pPr>
        <w:ind w:left="400"/>
        <w:rPr/>
      </w:pPr>
      <w:r>
        <w:t xml:space="preserve">• </w:t>
      </w:r>
      <w:r>
        <w:rPr>
          <w:b/>
        </w:rPr>
        <w:t xml:space="preserve">Consequence of inaction?</w:t>
      </w:r>
      <w:r>
        <w:t xml:space="preserve"> Irreversible progression to End-Stage Kidney Disease (ESKD) requiring lifelong hemodialysis (\</w:t>
      </w:r>
      <w:r>
        <w:rPr>
          <w:i/>
        </w:rPr>
        <w:t xml:space="preserve">35,000–\</w:t>
      </w:r>
      <w:r>
        <w:t xml:space="preserve">60,000/patient/year).</w:t>
      </w:r>
    </w:p>
    <w:p>
      <w:pPr>
        <w:ind w:left="400"/>
        <w:rPr/>
      </w:pPr>
      <w:r>
        <w:t xml:space="preserve">• </w:t>
      </w:r>
      <w:r>
        <w:rPr>
          <w:b/>
        </w:rPr>
        <w:t xml:space="preserve">Evidence base:</w:t>
      </w:r>
      <w:r>
        <w:t xml:space="preserve"> SGLT2i yields a </w:t>
      </w:r>
      <w:r>
        <w:rPr>
          <w:b/>
        </w:rPr>
        <w:t xml:space="preserve">39% relative reduction</w:t>
      </w:r>
      <w:r>
        <w:t xml:space="preserve"> in kidney failure and mortality (NNT = 19; </w:t>
      </w:r>
      <w:r>
        <w:rPr>
          <w:i/>
        </w:rPr>
        <w:t xml:space="preserve">DAPA-CKD</w:t>
      </w:r>
      <w:r>
        <w:t xml:space="preserve"> trial, </w:t>
      </w:r>
      <w:r>
        <w:rPr>
          <w:i/>
        </w:rPr>
        <w:t xml:space="preserve">NEJM</w:t>
      </w:r>
      <w:r>
        <w:t xml:space="preserve">).</w:t>
      </w:r>
    </w:p>
    <w:p>
      <w:pPr>
        <w:ind w:left="400"/>
        <w:rPr/>
      </w:pPr>
      <w:r>
        <w:t xml:space="preserve">• </w:t>
      </w:r>
      <w:r>
        <w:rPr>
          <w:b/>
        </w:rPr>
        <w:t xml:space="preserve">Importance &amp; Unmet Need:</w:t>
      </w:r>
      <w:r>
        <w:t xml:space="preserve"> Dialysis is the single largest catastrophic expenditure line item; uACR testing rates remain </w:t>
      </w:r>
      <w:r>
        <w:rPr>
          <w:i/>
        </w:rPr>
        <w:t xml:space="preserve">&lt;15\%</w:t>
      </w:r>
      <w:r>
        <w:t xml:space="preserve">.</w:t>
      </w:r>
    </w:p>
    <w:p>
      <w:pPr>
        <w:ind w:left="400"/>
        <w:rPr/>
      </w:pPr>
      <w:r>
        <w:t xml:space="preserve">• </w:t>
      </w:r>
      <w:r>
        <w:rPr>
          <w:b/>
        </w:rPr>
        <w:t xml:space="preserve">Population Health Fit:</w:t>
      </w:r>
      <w:r>
        <w:t xml:space="preserve"> Transforms routine paper lab slips into FHIR observations, automating population-wide risk stratification without new clinical hardware.</w:t>
      </w:r>
    </w:p>
    <w:p>
      <w:pPr>
        <w:pStyle w:val="Heading3"/>
      </w:pPr>
      <w:r>
        <w:t xml:space="preserve">6.2 Problem 2 (P2): Heat-Nephropathy &amp; The Wearable Fallacy</w:t>
      </w:r>
    </w:p>
    <w:p>
      <w:pPr>
        <w:ind w:left="400"/>
        <w:rPr/>
      </w:pPr>
      <w:r>
        <w:t xml:space="preserve">• </w:t>
      </w:r>
      <w:r>
        <w:rPr>
          <w:b/>
        </w:rPr>
        <w:t xml:space="preserve">Who is at risk?</w:t>
      </w:r>
      <w:r>
        <w:t xml:space="preserve"> Over 2.5 million outdoor construction, oil &amp; gas, and infrastructure laborers in UAE/GCC and millions of plantation/mining workers in Indonesia.</w:t>
      </w:r>
    </w:p>
    <w:p>
      <w:pPr>
        <w:ind w:left="400"/>
        <w:rPr/>
      </w:pPr>
      <w:r>
        <w:t xml:space="preserve">• </w:t>
      </w:r>
      <w:r>
        <w:rPr>
          <w:b/>
        </w:rPr>
        <w:t xml:space="preserve">What signal indicates the risk?</w:t>
      </w:r>
      <w:r>
        <w:t xml:space="preserve"> Pre-shift sleep deprivation (</w:t>
      </w:r>
      <w:r>
        <w:rPr>
          <w:i/>
        </w:rPr>
        <w:t xml:space="preserve">&lt;5\text{ h}</w:t>
      </w:r>
      <w:r>
        <w:t xml:space="preserve">), heat-sensitizing medications, morning urine specific gravity (USG </w:t>
      </w:r>
      <w:r>
        <w:rPr>
          <w:i/>
        </w:rPr>
        <w:t xml:space="preserve">≥ 1.025</w:t>
      </w:r>
      <w:r>
        <w:t xml:space="preserve">), and local analog Wet-Bulb Globe Temperature (WBGT </w:t>
      </w:r>
      <w:r>
        <w:rPr>
          <w:i/>
        </w:rPr>
        <w:t xml:space="preserve">&gt;32^\circ\text{C}</w:t>
      </w:r>
      <w:r>
        <w:t xml:space="preserve">).</w:t>
      </w:r>
    </w:p>
    <w:p>
      <w:pPr>
        <w:ind w:left="400"/>
        <w:rPr/>
      </w:pPr>
      <w:r>
        <w:t xml:space="preserve">• </w:t>
      </w:r>
      <w:r>
        <w:rPr>
          <w:b/>
        </w:rPr>
        <w:t xml:space="preserve">What preventive action should happen?</w:t>
      </w:r>
      <w:r>
        <w:t xml:space="preserve"> Automated, role-separated shift management: dispatching shaded task assignments, enforcing calibrated OSHA/NIOSH work-rest cycles, and distributing hydration quotas </w:t>
      </w:r>
      <w:r>
        <w:rPr>
          <w:i/>
        </w:rPr>
        <w:t xml:space="preserve">before</w:t>
      </w:r>
      <w:r>
        <w:t xml:space="preserve"> shift commencement.</w:t>
      </w:r>
    </w:p>
    <w:p>
      <w:pPr>
        <w:ind w:left="400"/>
        <w:rPr/>
      </w:pPr>
      <w:r>
        <w:t xml:space="preserve">• </w:t>
      </w:r>
      <w:r>
        <w:rPr>
          <w:b/>
        </w:rPr>
        <w:t xml:space="preserve">Why does that action fail?</w:t>
      </w:r>
      <w:r>
        <w:t xml:space="preserve"> Smartwatches fail in 48°C heat and trigger worker fears of wage docking; manual gate clipboards are signed without reading.</w:t>
      </w:r>
    </w:p>
    <w:p>
      <w:pPr>
        <w:ind w:left="400"/>
        <w:rPr/>
      </w:pPr>
      <w:r>
        <w:t xml:space="preserve">• </w:t>
      </w:r>
      <w:r>
        <w:rPr>
          <w:b/>
        </w:rPr>
        <w:t xml:space="preserve">Consequence of inaction?</w:t>
      </w:r>
      <w:r>
        <w:t xml:space="preserve"> Acute heat stroke, emergency hospitalizations, lost-time injuries, and chronic subclinical AKI progressing to epidemic CKDu.</w:t>
      </w:r>
    </w:p>
    <w:p>
      <w:pPr>
        <w:ind w:left="400"/>
        <w:rPr/>
      </w:pPr>
      <w:r>
        <w:t xml:space="preserve">• </w:t>
      </w:r>
      <w:r>
        <w:rPr>
          <w:b/>
        </w:rPr>
        <w:t xml:space="preserve">Evidence base:</w:t>
      </w:r>
      <w:r>
        <w:t xml:space="preserve"> Work-rest rotations based on thermal indices reduce heat illness by </w:t>
      </w:r>
      <w:r>
        <w:rPr>
          <w:b/>
        </w:rPr>
        <w:t xml:space="preserve">&gt;75%</w:t>
      </w:r>
      <w:r>
        <w:t xml:space="preserve"> (</w:t>
      </w:r>
      <w:r>
        <w:rPr>
          <w:i/>
        </w:rPr>
        <w:t xml:space="preserve">NIOSH Criteria</w:t>
      </w:r>
      <w:r>
        <w:t xml:space="preserve">).</w:t>
      </w:r>
    </w:p>
    <w:p>
      <w:pPr>
        <w:ind w:left="400"/>
        <w:rPr/>
      </w:pPr>
      <w:r>
        <w:t xml:space="preserve">• </w:t>
      </w:r>
      <w:r>
        <w:rPr>
          <w:b/>
        </w:rPr>
        <w:t xml:space="preserve">Importance &amp; Unmet Need:</w:t>
      </w:r>
      <w:r>
        <w:t xml:space="preserve"> UAE MoHRE and OSHAD mandate midday heat protections, but safety officers lack an objective, low-friction, non-punitive compliance engine.</w:t>
      </w:r>
    </w:p>
    <w:p>
      <w:pPr>
        <w:ind w:left="400"/>
        <w:rPr/>
      </w:pPr>
      <w:r>
        <w:t xml:space="preserve">• </w:t>
      </w:r>
      <w:r>
        <w:rPr>
          <w:b/>
        </w:rPr>
        <w:t xml:space="preserve">Population Health Fit:</w:t>
      </w:r>
      <w:r>
        <w:t xml:space="preserve"> Eliminates wearable hardware by using \</w:t>
      </w:r>
      <w:r>
        <w:rPr>
          <w:i/>
        </w:rPr>
        <w:t xml:space="preserve">0.01 paper bubble cards, \</w:t>
      </w:r>
      <w:r>
        <w:t xml:space="preserve">0.05 chemical strips, and mobile dial-gauge OCR.</w:t>
      </w:r>
    </w:p>
    <w:p>
      <w:pPr>
        <w:pStyle w:val="Heading3"/>
      </w:pPr>
      <w:r>
        <w:t xml:space="preserve">6.3 Problem 3 (P3): Administrative Dark Data in Enterprise Sick Notes</w:t>
      </w:r>
    </w:p>
    <w:p>
      <w:pPr>
        <w:ind w:left="400"/>
        <w:rPr/>
      </w:pPr>
      <w:r>
        <w:t xml:space="preserve">• </w:t>
      </w:r>
      <w:r>
        <w:rPr>
          <w:b/>
        </w:rPr>
        <w:t xml:space="preserve">Who is at risk?</w:t>
      </w:r>
      <w:r>
        <w:t xml:space="preserve"> Large manufacturing, logistics, and corporate workforces vulnerable to rapid viral outbreaks (influenza, norovirus, dengue) and unrecognized environmental toxic exposures.</w:t>
      </w:r>
    </w:p>
    <w:p>
      <w:pPr>
        <w:ind w:left="400"/>
        <w:rPr/>
      </w:pPr>
      <w:r>
        <w:t xml:space="preserve">• </w:t>
      </w:r>
      <w:r>
        <w:rPr>
          <w:b/>
        </w:rPr>
        <w:t xml:space="preserve">What signal indicates the risk?</w:t>
      </w:r>
      <w:r>
        <w:t xml:space="preserve"> Doctor medical leave certificates (</w:t>
      </w:r>
      <w:r>
        <w:rPr>
          <w:i/>
        </w:rPr>
        <w:t xml:space="preserve">Surat Sakit</w:t>
      </w:r>
      <w:r>
        <w:t xml:space="preserve">) uploaded to enterprise HR systems, containing clinic stamps, ICD-10 diagnoses, and prescribed drugs.</w:t>
      </w:r>
    </w:p>
    <w:p>
      <w:pPr>
        <w:ind w:left="400"/>
        <w:rPr/>
      </w:pPr>
      <w:r>
        <w:t xml:space="preserve">• </w:t>
      </w:r>
      <w:r>
        <w:rPr>
          <w:b/>
        </w:rPr>
        <w:t xml:space="preserve">What preventive action should happen?</w:t>
      </w:r>
      <w:r>
        <w:t xml:space="preserve"> Spatial-temporal aberration detection (CDC EARS) that flags syndromic clustering to EHS officers, triggering targeted ventilation checks and sanitization.</w:t>
      </w:r>
    </w:p>
    <w:p>
      <w:pPr>
        <w:ind w:left="400"/>
        <w:rPr/>
      </w:pPr>
      <w:r>
        <w:t xml:space="preserve">• </w:t>
      </w:r>
      <w:r>
        <w:rPr>
          <w:b/>
        </w:rPr>
        <w:t xml:space="preserve">Why does that action fail?</w:t>
      </w:r>
      <w:r>
        <w:t xml:space="preserve"> HR treats sick notes purely as accounting receipts for payroll deductions, permanently discarding clinical diagnoses.</w:t>
      </w:r>
    </w:p>
    <w:p>
      <w:pPr>
        <w:ind w:left="400"/>
        <w:rPr/>
      </w:pPr>
      <w:r>
        <w:t xml:space="preserve">• </w:t>
      </w:r>
      <w:r>
        <w:rPr>
          <w:b/>
        </w:rPr>
        <w:t xml:space="preserve">Consequence of inaction?</w:t>
      </w:r>
      <w:r>
        <w:t xml:space="preserve"> Multi-shift infectious transmission paralyzing industrial operations and delayed recognition of occupational hazard leaks.</w:t>
      </w:r>
    </w:p>
    <w:p>
      <w:pPr>
        <w:ind w:left="400"/>
        <w:rPr/>
      </w:pPr>
      <w:r>
        <w:t xml:space="preserve">• </w:t>
      </w:r>
      <w:r>
        <w:rPr>
          <w:b/>
        </w:rPr>
        <w:t xml:space="preserve">Evidence base:</w:t>
      </w:r>
      <w:r>
        <w:t xml:space="preserve"> Ambulatory leave syndromic surveillance provides a </w:t>
      </w:r>
      <w:r>
        <w:rPr>
          <w:b/>
        </w:rPr>
        <w:t xml:space="preserve">7 to 12-day early warning lead time</w:t>
      </w:r>
      <w:r>
        <w:t xml:space="preserve"> over hospital registries (</w:t>
      </w:r>
      <w:r>
        <w:rPr>
          <w:i/>
        </w:rPr>
        <w:t xml:space="preserve">CDC MMWR</w:t>
      </w:r>
      <w:r>
        <w:t xml:space="preserve">).</w:t>
      </w:r>
    </w:p>
    <w:p>
      <w:pPr>
        <w:ind w:left="400"/>
        <w:rPr/>
      </w:pPr>
      <w:r>
        <w:t xml:space="preserve">• </w:t>
      </w:r>
      <w:r>
        <w:rPr>
          <w:b/>
        </w:rPr>
        <w:t xml:space="preserve">Importance &amp; Unmet Need:</w:t>
      </w:r>
      <w:r>
        <w:t xml:space="preserve"> Unlocks a legally mandated data stream already collected daily at zero additional cost.</w:t>
      </w:r>
    </w:p>
    <w:p>
      <w:pPr>
        <w:ind w:left="400"/>
        <w:rPr/>
      </w:pPr>
      <w:r>
        <w:t xml:space="preserve">• </w:t>
      </w:r>
      <w:r>
        <w:rPr>
          <w:b/>
        </w:rPr>
        <w:t xml:space="preserve">Population Health Fit:</w:t>
      </w:r>
      <w:r>
        <w:t xml:space="preserve"> Bridges enterprise safety directly into municipal early warning networks while enforcing strict </w:t>
      </w:r>
      <w:r>
        <w:rPr>
          <w:i/>
        </w:rPr>
        <w:t xml:space="preserve">k</w:t>
      </w:r>
      <w:r>
        <w:t xml:space="preserve">-anonymity (</w:t>
      </w:r>
      <w:r>
        <w:rPr>
          <w:i/>
        </w:rPr>
        <w:t xml:space="preserve">≥ 5</w:t>
      </w:r>
      <w:r>
        <w:t xml:space="preserve">).</w:t>
      </w:r>
    </w:p>
    <w:p>
      <w:pPr>
        <w:pStyle w:val="Heading3"/>
      </w:pPr>
      <w:r>
        <w:t xml:space="preserve">6.4 Problem 4 (P4): Digital Divide &amp; Reversible Mimics in Brain Health</w:t>
      </w:r>
    </w:p>
    <w:p>
      <w:pPr>
        <w:ind w:left="400"/>
        <w:rPr/>
      </w:pPr>
      <w:r>
        <w:t xml:space="preserve">• </w:t>
      </w:r>
      <w:r>
        <w:rPr>
          <w:b/>
        </w:rPr>
        <w:t xml:space="preserve">Who is at risk?</w:t>
      </w:r>
      <w:r>
        <w:t xml:space="preserve"> Aging adults (</w:t>
      </w:r>
      <w:r>
        <w:rPr>
          <w:i/>
        </w:rPr>
        <w:t xml:space="preserve">≥ 60</w:t>
      </w:r>
      <w:r>
        <w:t xml:space="preserve"> years) experiencing early Mild Cognitive Impairment (MCI) or subjective memory complaints in multicultural populations.</w:t>
      </w:r>
    </w:p>
    <w:p>
      <w:pPr>
        <w:ind w:left="400"/>
        <w:rPr/>
      </w:pPr>
      <w:r>
        <w:t xml:space="preserve">• </w:t>
      </w:r>
      <w:r>
        <w:rPr>
          <w:b/>
        </w:rPr>
        <w:t xml:space="preserve">What signal indicates the risk?</w:t>
      </w:r>
      <w:r>
        <w:t xml:space="preserve"> Sub-millimeter geometric distortions on paper Clock Drawing Tests (contour circularity gaps, hand-angle vector errors, digit crowding, pen stroke micro-tremor tortuosity) combined with unreviewed metabolic lab sheets (B12, TSH) and high Anticholinergic Cognitive Burden (ACB </w:t>
      </w:r>
      <w:r>
        <w:rPr>
          <w:i/>
        </w:rPr>
        <w:t xml:space="preserve">≥ 3</w:t>
      </w:r>
      <w:r>
        <w:t xml:space="preserve">) medication lists.</w:t>
      </w:r>
    </w:p>
    <w:p>
      <w:pPr>
        <w:ind w:left="400"/>
        <w:rPr/>
      </w:pPr>
      <w:r>
        <w:t xml:space="preserve">• </w:t>
      </w:r>
      <w:r>
        <w:rPr>
          <w:b/>
        </w:rPr>
        <w:t xml:space="preserve">What preventive action should happen?</w:t>
      </w:r>
      <w:r>
        <w:t xml:space="preserve"> Automated quantitative screening on physical paper tests followed by an immediate clinical gate: resolving reversible mimics (thyroid repletion, B12 therapy, anticholinergic deprescribing) before triggering memory clinic referrals.</w:t>
      </w:r>
    </w:p>
    <w:p>
      <w:pPr>
        <w:ind w:left="400"/>
        <w:rPr/>
      </w:pPr>
      <w:r>
        <w:t xml:space="preserve">• </w:t>
      </w:r>
      <w:r>
        <w:rPr>
          <w:b/>
        </w:rPr>
        <w:t xml:space="preserve">Why does that action fail?</w:t>
      </w:r>
      <w:r>
        <w:t xml:space="preserve"> Digital tablet apps trigger high test anxiety, tremor artifacts, and high false positives; paper clock drawings are graded subjectively by eye.</w:t>
      </w:r>
    </w:p>
    <w:p>
      <w:pPr>
        <w:ind w:left="400"/>
        <w:rPr/>
      </w:pPr>
      <w:r>
        <w:t xml:space="preserve">• </w:t>
      </w:r>
      <w:r>
        <w:rPr>
          <w:b/>
        </w:rPr>
        <w:t xml:space="preserve">Consequence of inaction?</w:t>
      </w:r>
      <w:r>
        <w:t xml:space="preserve"> Missed windows for neuro-protection, or misdiagnosing drug-induced delirium/deficiencies as irreversible Alzheimer's, flooding specialist memory clinics.</w:t>
      </w:r>
    </w:p>
    <w:p>
      <w:pPr>
        <w:ind w:left="400"/>
        <w:rPr/>
      </w:pPr>
      <w:r>
        <w:t xml:space="preserve">• </w:t>
      </w:r>
      <w:r>
        <w:rPr>
          <w:b/>
        </w:rPr>
        <w:t xml:space="preserve">Evidence base:</w:t>
      </w:r>
      <w:r>
        <w:t xml:space="preserve"> Up to </w:t>
      </w:r>
      <w:r>
        <w:rPr>
          <w:b/>
        </w:rPr>
        <w:t xml:space="preserve">30% of apparent dementia cases are reversible pseudo-dementias</w:t>
      </w:r>
      <w:r>
        <w:t xml:space="preserve"> (</w:t>
      </w:r>
      <w:r>
        <w:rPr>
          <w:i/>
        </w:rPr>
        <w:t xml:space="preserve">Lancet Commission on Dementia, 2024</w:t>
      </w:r>
      <w:r>
        <w:t xml:space="preserve">).</w:t>
      </w:r>
    </w:p>
    <w:p>
      <w:pPr>
        <w:ind w:left="400"/>
        <w:rPr/>
      </w:pPr>
      <w:r>
        <w:t xml:space="preserve">• </w:t>
      </w:r>
      <w:r>
        <w:rPr>
          <w:b/>
        </w:rPr>
        <w:t xml:space="preserve">Importance &amp; Unmet Need:</w:t>
      </w:r>
      <w:r>
        <w:t xml:space="preserve"> Preserves the low-stress, culturally neutral gold standard of pen and paper while providing clinicians with automated quantitative tracking.</w:t>
      </w:r>
    </w:p>
    <w:p>
      <w:pPr>
        <w:ind w:left="400"/>
        <w:rPr/>
      </w:pPr>
      <w:r>
        <w:t xml:space="preserve">• </w:t>
      </w:r>
      <w:r>
        <w:rPr>
          <w:b/>
        </w:rPr>
        <w:t xml:space="preserve">Population Health Fit:</w:t>
      </w:r>
      <w:r>
        <w:t xml:space="preserve"> Aligns with the Abu Dhabi Early Brain Health initiative with zero hardware capital expenditure.</w:t>
      </w:r>
    </w:p>
    <w:p>
      <w:pPr>
        <w:pStyle w:val="Heading3"/>
      </w:pPr>
      <w:r>
        <w:t xml:space="preserve">6.5 Problem 5 (P5): Thermal Paper Spirometry &amp; Industrial Lung Decline</w:t>
      </w:r>
    </w:p>
    <w:p>
      <w:pPr>
        <w:ind w:left="400"/>
        <w:rPr/>
      </w:pPr>
      <w:r>
        <w:t xml:space="preserve">• </w:t>
      </w:r>
      <w:r>
        <w:rPr>
          <w:b/>
        </w:rPr>
        <w:t xml:space="preserve">Who is at risk?</w:t>
      </w:r>
      <w:r>
        <w:t xml:space="preserve"> Industrial workers exposed to crystalline silica, chemical vapors, and metal dusts.</w:t>
      </w:r>
    </w:p>
    <w:p>
      <w:pPr>
        <w:ind w:left="400"/>
        <w:rPr/>
      </w:pPr>
      <w:r>
        <w:t xml:space="preserve">• </w:t>
      </w:r>
      <w:r>
        <w:rPr>
          <w:b/>
        </w:rPr>
        <w:t xml:space="preserve">What signal indicates the risk?</w:t>
      </w:r>
      <w:r>
        <w:t xml:space="preserve"> Annual spirometry thermal paper printouts (accelerated drops in FEV1 </w:t>
      </w:r>
      <w:r>
        <w:rPr>
          <w:i/>
        </w:rPr>
        <w:t xml:space="preserve">&gt;15\%</w:t>
      </w:r>
      <w:r>
        <w:t xml:space="preserve"> cross-shift or </w:t>
      </w:r>
      <w:r>
        <w:rPr>
          <w:i/>
        </w:rPr>
        <w:t xml:space="preserve">&gt;60\text{ mL/year}</w:t>
      </w:r>
      <w:r>
        <w:t xml:space="preserve">), audiograms showing a 4000 Hz notch, and chemical spray logs.</w:t>
      </w:r>
    </w:p>
    <w:p>
      <w:pPr>
        <w:ind w:left="400"/>
        <w:rPr/>
      </w:pPr>
      <w:r>
        <w:t xml:space="preserve">• </w:t>
      </w:r>
      <w:r>
        <w:rPr>
          <w:b/>
        </w:rPr>
        <w:t xml:space="preserve">What preventive action should happen?</w:t>
      </w:r>
      <w:r>
        <w:t xml:space="preserve"> Zone-level ventilation retrofits, mandatory PAPR respirators, and reflex clinical plethysmography before irreversible fibrosis develops.</w:t>
      </w:r>
    </w:p>
    <w:p>
      <w:pPr>
        <w:ind w:left="400"/>
        <w:rPr/>
      </w:pPr>
      <w:r>
        <w:t xml:space="preserve">• </w:t>
      </w:r>
      <w:r>
        <w:rPr>
          <w:b/>
        </w:rPr>
        <w:t xml:space="preserve">Why does that action fail?</w:t>
      </w:r>
      <w:r>
        <w:t xml:space="preserve"> Spirometry curves are printed on fading thermal paper and stapled into physical HR dossiers without computerized slope calculation.</w:t>
      </w:r>
    </w:p>
    <w:p>
      <w:pPr>
        <w:ind w:left="400"/>
        <w:rPr/>
      </w:pPr>
      <w:r>
        <w:t xml:space="preserve">• </w:t>
      </w:r>
      <w:r>
        <w:rPr>
          <w:b/>
        </w:rPr>
        <w:t xml:space="preserve">Consequence of inaction?</w:t>
      </w:r>
      <w:r>
        <w:t xml:space="preserve"> Irreversible, fatal occupational silicosis and toxic asthma.</w:t>
      </w:r>
    </w:p>
    <w:p>
      <w:pPr>
        <w:ind w:left="400"/>
        <w:rPr/>
      </w:pPr>
      <w:r>
        <w:t xml:space="preserve">• </w:t>
      </w:r>
      <w:r>
        <w:rPr>
          <w:b/>
        </w:rPr>
        <w:t xml:space="preserve">Evidence base:</w:t>
      </w:r>
      <w:r>
        <w:t xml:space="preserve"> Silicosis and occupational COPD account for over 300,000 preventable deaths annually worldwide (</w:t>
      </w:r>
      <w:r>
        <w:rPr>
          <w:i/>
        </w:rPr>
        <w:t xml:space="preserve">WHO/ILO</w:t>
      </w:r>
      <w:r>
        <w:t xml:space="preserve">).</w:t>
      </w:r>
    </w:p>
    <w:p>
      <w:pPr>
        <w:ind w:left="400"/>
        <w:rPr/>
      </w:pPr>
      <w:r>
        <w:t xml:space="preserve">• </w:t>
      </w:r>
      <w:r>
        <w:rPr>
          <w:b/>
        </w:rPr>
        <w:t xml:space="preserve">Importance &amp; Unmet Need:</w:t>
      </w:r>
      <w:r>
        <w:t xml:space="preserve"> Mandated by OSHAD and K3 Kemnaker, but the data remains an unanalyzed physical archive.</w:t>
      </w:r>
    </w:p>
    <w:p>
      <w:pPr>
        <w:ind w:left="400"/>
        <w:rPr/>
      </w:pPr>
      <w:r>
        <w:t xml:space="preserve">• </w:t>
      </w:r>
      <w:r>
        <w:rPr>
          <w:b/>
        </w:rPr>
        <w:t xml:space="preserve">Population Health Fit:</w:t>
      </w:r>
      <w:r>
        <w:t xml:space="preserve"> Transforms passive regulatory compliance into an active environmental protection system.</w:t>
      </w:r>
    </w:p>
    <w:p>
      <w:pPr>
        <w:pStyle w:val="Heading3"/>
      </w:pPr>
      <w:r>
        <w:t xml:space="preserve">6.6 Problem 6 (P6): Expatriate Vaccine Booklets &amp; Pediatric ASQ Windows</w:t>
      </w:r>
    </w:p>
    <w:p>
      <w:pPr>
        <w:ind w:left="400"/>
        <w:rPr/>
      </w:pPr>
      <w:r>
        <w:t xml:space="preserve">• </w:t>
      </w:r>
      <w:r>
        <w:rPr>
          <w:b/>
        </w:rPr>
        <w:t xml:space="preserve">Who is at risk?</w:t>
      </w:r>
      <w:r>
        <w:t xml:space="preserve"> Infants and toddlers (0–5 years) undergoing early developmental tracking, and multinational expatriate families moving to Abu Dhabi.</w:t>
      </w:r>
    </w:p>
    <w:p>
      <w:pPr>
        <w:ind w:left="400"/>
        <w:rPr/>
      </w:pPr>
      <w:r>
        <w:t xml:space="preserve">• </w:t>
      </w:r>
      <w:r>
        <w:rPr>
          <w:b/>
        </w:rPr>
        <w:t xml:space="preserve">What signal indicates the risk?</w:t>
      </w:r>
      <w:r>
        <w:t xml:space="preserve"> Paper ASQ-3 questionnaires, M-CHAT-R checklists filled out in waiting rooms, and heterogeneous international paper immunization booklets.</w:t>
      </w:r>
    </w:p>
    <w:p>
      <w:pPr>
        <w:ind w:left="400"/>
        <w:rPr/>
      </w:pPr>
      <w:r>
        <w:t xml:space="preserve">• </w:t>
      </w:r>
      <w:r>
        <w:rPr>
          <w:b/>
        </w:rPr>
        <w:t xml:space="preserve">What preventive action should happen?</w:t>
      </w:r>
      <w:r>
        <w:t xml:space="preserve"> Rapid conversion of paper checkmarks and vaccine schedules into interoperable FHIR records, auto-triggering early speech/behavioral therapy for borderline scores (</w:t>
      </w:r>
      <w:r>
        <w:rPr>
          <w:i/>
        </w:rPr>
        <w:t xml:space="preserve">≥ 2\text{ SD}</w:t>
      </w:r>
      <w:r>
        <w:t xml:space="preserve"> below mean).</w:t>
      </w:r>
    </w:p>
    <w:p>
      <w:pPr>
        <w:ind w:left="400"/>
        <w:rPr/>
      </w:pPr>
      <w:r>
        <w:t xml:space="preserve">• </w:t>
      </w:r>
      <w:r>
        <w:rPr>
          <w:b/>
        </w:rPr>
        <w:t xml:space="preserve">Why does that action fail?</w:t>
      </w:r>
      <w:r>
        <w:t xml:space="preserve"> Pediatric triage nurses spend 15–20 minutes per visit deciphering diverse international vaccination nomenclature; paper ASQ-3 forms are hand-calculated.</w:t>
      </w:r>
    </w:p>
    <w:p>
      <w:pPr>
        <w:ind w:left="400"/>
        <w:rPr/>
      </w:pPr>
      <w:r>
        <w:t xml:space="preserve">• </w:t>
      </w:r>
      <w:r>
        <w:rPr>
          <w:b/>
        </w:rPr>
        <w:t xml:space="preserve">Consequence of inaction?</w:t>
      </w:r>
      <w:r>
        <w:t xml:space="preserve"> Missing the peak neuroplastic window (</w:t>
      </w:r>
      <w:r>
        <w:rPr>
          <w:i/>
        </w:rPr>
        <w:t xml:space="preserve">&lt;36\text{ months}</w:t>
      </w:r>
      <w:r>
        <w:t xml:space="preserve">) for autism and developmental delay intervention.</w:t>
      </w:r>
    </w:p>
    <w:p>
      <w:pPr>
        <w:ind w:left="400"/>
        <w:rPr/>
      </w:pPr>
      <w:r>
        <w:t xml:space="preserve">• </w:t>
      </w:r>
      <w:r>
        <w:rPr>
          <w:b/>
        </w:rPr>
        <w:t xml:space="preserve">Evidence base:</w:t>
      </w:r>
      <w:r>
        <w:t xml:space="preserve"> Early intervention before age 3 produces a </w:t>
      </w:r>
      <w:r>
        <w:rPr>
          <w:b/>
        </w:rPr>
        <w:t xml:space="preserve">200% greater improvement in cognitive and adaptive function</w:t>
      </w:r>
      <w:r>
        <w:t xml:space="preserve"> (</w:t>
      </w:r>
      <w:r>
        <w:rPr>
          <w:i/>
        </w:rPr>
        <w:t xml:space="preserve">AAP Guidelines</w:t>
      </w:r>
      <w:r>
        <w:t xml:space="preserve">).</w:t>
      </w:r>
    </w:p>
    <w:p>
      <w:pPr>
        <w:ind w:left="400"/>
        <w:rPr/>
      </w:pPr>
      <w:r>
        <w:t xml:space="preserve">• </w:t>
      </w:r>
      <w:r>
        <w:rPr>
          <w:b/>
        </w:rPr>
        <w:t xml:space="preserve">Importance &amp; Unmet Need:</w:t>
      </w:r>
      <w:r>
        <w:t xml:space="preserve"> Over 85% of Abu Dhabi residents are expatriates navigating multi-country medical histories.</w:t>
      </w:r>
    </w:p>
    <w:p>
      <w:pPr>
        <w:ind w:left="400"/>
        <w:rPr/>
      </w:pPr>
      <w:r>
        <w:t xml:space="preserve">• </w:t>
      </w:r>
      <w:r>
        <w:rPr>
          <w:b/>
        </w:rPr>
        <w:t xml:space="preserve">Population Health Fit:</w:t>
      </w:r>
      <w:r>
        <w:t xml:space="preserve"> Eliminates clinical administrative drag while securing life-course developmental milestones.</w:t>
      </w:r>
    </w:p>
    <w:p>
      <w:pPr>
        <w:pStyle w:val="Heading3"/>
      </w:pPr>
      <w:r>
        <w:t xml:space="preserve">6.7 Problem 7 (P7): Phenotypic Silos in Hand-Drawn Genetic Pedigrees</w:t>
      </w:r>
    </w:p>
    <w:p>
      <w:pPr>
        <w:ind w:left="400"/>
        <w:rPr/>
      </w:pPr>
      <w:r>
        <w:t xml:space="preserve">• </w:t>
      </w:r>
      <w:r>
        <w:rPr>
          <w:b/>
        </w:rPr>
        <w:t xml:space="preserve">Who is at risk?</w:t>
      </w:r>
      <w:r>
        <w:t xml:space="preserve"> Families carrying latent genetic cardiometabolic risks (familial hypercholesterolemia) or recessive hemoglobinopathies (thalassemia, sickle cell trait).</w:t>
      </w:r>
    </w:p>
    <w:p>
      <w:pPr>
        <w:ind w:left="400"/>
        <w:rPr/>
      </w:pPr>
      <w:r>
        <w:t xml:space="preserve">• </w:t>
      </w:r>
      <w:r>
        <w:rPr>
          <w:b/>
        </w:rPr>
        <w:t xml:space="preserve">What signal indicates the risk?</w:t>
      </w:r>
      <w:r>
        <w:t xml:space="preserve"> Hand-drawn family pedigree charts sketched by genetic counselors, mandatory premarital screening paper certificates (</w:t>
      </w:r>
      <w:r>
        <w:rPr>
          <w:i/>
        </w:rPr>
        <w:t xml:space="preserve">Al-Fahas</w:t>
      </w:r>
      <w:r>
        <w:t xml:space="preserve">), and external lab PDFs.</w:t>
      </w:r>
    </w:p>
    <w:p>
      <w:pPr>
        <w:ind w:left="400"/>
        <w:rPr/>
      </w:pPr>
      <w:r>
        <w:t xml:space="preserve">• </w:t>
      </w:r>
      <w:r>
        <w:rPr>
          <w:b/>
        </w:rPr>
        <w:t xml:space="preserve">What preventive action should happen?</w:t>
      </w:r>
      <w:r>
        <w:t xml:space="preserve"> Automated population of dynamic Family Health Knowledge Graphs linking into national genomic programs (Emirati Genome Program), triggering tailored precision screening intervals.</w:t>
      </w:r>
    </w:p>
    <w:p>
      <w:pPr>
        <w:ind w:left="400"/>
        <w:rPr/>
      </w:pPr>
      <w:r>
        <w:t xml:space="preserve">• </w:t>
      </w:r>
      <w:r>
        <w:rPr>
          <w:b/>
        </w:rPr>
        <w:t xml:space="preserve">Why does that action fail?</w:t>
      </w:r>
      <w:r>
        <w:t xml:space="preserve"> Clinical genetics documents pedigrees using handwritten symbols on paper; these complex graphs cannot be queried by EHR databases (Malaffi).</w:t>
      </w:r>
    </w:p>
    <w:p>
      <w:pPr>
        <w:ind w:left="400"/>
        <w:rPr/>
      </w:pPr>
      <w:r>
        <w:t xml:space="preserve">• </w:t>
      </w:r>
      <w:r>
        <w:rPr>
          <w:b/>
        </w:rPr>
        <w:t xml:space="preserve">Consequence of inaction?</w:t>
      </w:r>
      <w:r>
        <w:t xml:space="preserve"> Missed opportunities for cascade screening in families with preventable genetic conditions; late-stage diagnosis of hereditary cancers.</w:t>
      </w:r>
    </w:p>
    <w:p>
      <w:pPr>
        <w:ind w:left="400"/>
        <w:rPr/>
      </w:pPr>
      <w:r>
        <w:t xml:space="preserve">• </w:t>
      </w:r>
      <w:r>
        <w:rPr>
          <w:b/>
        </w:rPr>
        <w:t xml:space="preserve">Evidence base:</w:t>
      </w:r>
      <w:r>
        <w:t xml:space="preserve"> Familial Hypercholesterolemia affects 1 in 250 individuals, yet </w:t>
      </w:r>
      <w:r>
        <w:rPr>
          <w:i/>
        </w:rPr>
        <w:t xml:space="preserve">&lt;10\%</w:t>
      </w:r>
      <w:r>
        <w:t xml:space="preserve"> are diagnosed prior to their first myocardial infarction (</w:t>
      </w:r>
      <w:r>
        <w:rPr>
          <w:i/>
        </w:rPr>
        <w:t xml:space="preserve">AHA</w:t>
      </w:r>
      <w:r>
        <w:t xml:space="preserve">).</w:t>
      </w:r>
    </w:p>
    <w:p>
      <w:pPr>
        <w:ind w:left="400"/>
        <w:rPr/>
      </w:pPr>
      <w:r>
        <w:t xml:space="preserve">• </w:t>
      </w:r>
      <w:r>
        <w:rPr>
          <w:b/>
        </w:rPr>
        <w:t xml:space="preserve">Importance &amp; Unmet Need:</w:t>
      </w:r>
      <w:r>
        <w:t xml:space="preserve"> Connects the Emirati Genome Program's molecular data with unindexed phenotypic family health history.</w:t>
      </w:r>
    </w:p>
    <w:p>
      <w:pPr>
        <w:ind w:left="400"/>
        <w:rPr/>
      </w:pPr>
      <w:r>
        <w:t xml:space="preserve">• </w:t>
      </w:r>
      <w:r>
        <w:rPr>
          <w:b/>
        </w:rPr>
        <w:t xml:space="preserve">Population Health Fit:</w:t>
      </w:r>
      <w:r>
        <w:t xml:space="preserve"> Bridges clinical genetics directly into proactive, family-centered population registries.</w:t>
      </w:r>
    </w:p>
    <w:p>
      <w:pPr>
        <w:pStyle w:val="Heading3"/>
      </w:pPr>
      <w:r>
        <w:t xml:space="preserve">6.8 Problem 8 (P8): Grassroots Ledger Latency in Community Registries</w:t>
      </w:r>
    </w:p>
    <w:p>
      <w:pPr>
        <w:ind w:left="400"/>
        <w:rPr/>
      </w:pPr>
      <w:r>
        <w:t xml:space="preserve">• </w:t>
      </w:r>
      <w:r>
        <w:rPr>
          <w:b/>
        </w:rPr>
        <w:t xml:space="preserve">Who is at risk?</w:t>
      </w:r>
      <w:r>
        <w:t xml:space="preserve"> Underserved populations relying on decentralized community health centers (</w:t>
      </w:r>
      <w:r>
        <w:rPr>
          <w:i/>
        </w:rPr>
        <w:t xml:space="preserve">Puskesmas Pembantu</w:t>
      </w:r>
      <w:r>
        <w:t xml:space="preserve">, </w:t>
      </w:r>
      <w:r>
        <w:rPr>
          <w:i/>
        </w:rPr>
        <w:t xml:space="preserve">Posyandu</w:t>
      </w:r>
      <w:r>
        <w:t xml:space="preserve">, mobile screening vans).</w:t>
      </w:r>
    </w:p>
    <w:p>
      <w:pPr>
        <w:ind w:left="400"/>
        <w:rPr/>
      </w:pPr>
      <w:r>
        <w:t xml:space="preserve">• </w:t>
      </w:r>
      <w:r>
        <w:rPr>
          <w:b/>
        </w:rPr>
        <w:t xml:space="preserve">What signal indicates the risk?</w:t>
      </w:r>
      <w:r>
        <w:t xml:space="preserve"> Handwritten primary care registry books (</w:t>
      </w:r>
      <w:r>
        <w:rPr>
          <w:i/>
        </w:rPr>
        <w:t xml:space="preserve">Buku Register Rawat Jalan / Kohort PTM</w:t>
      </w:r>
      <w:r>
        <w:t xml:space="preserve">), listing patient age, neighborhood, blood pressure, capillary glucose, and medication sales.</w:t>
      </w:r>
    </w:p>
    <w:p>
      <w:pPr>
        <w:ind w:left="400"/>
        <w:rPr/>
      </w:pPr>
      <w:r>
        <w:t xml:space="preserve">• </w:t>
      </w:r>
      <w:r>
        <w:rPr>
          <w:b/>
        </w:rPr>
        <w:t xml:space="preserve">What preventive action should happen?</w:t>
      </w:r>
      <w:r>
        <w:t xml:space="preserve"> Automated batch digitization from smartphone photos taken by community health workers (</w:t>
      </w:r>
      <w:r>
        <w:rPr>
          <w:i/>
        </w:rPr>
        <w:t xml:space="preserve">Kader</w:t>
      </w:r>
      <w:r>
        <w:t xml:space="preserve">), syncing records immediately into national platforms (SatuSehat/ASIK).</w:t>
      </w:r>
    </w:p>
    <w:p>
      <w:pPr>
        <w:ind w:left="400"/>
        <w:rPr/>
      </w:pPr>
      <w:r>
        <w:t xml:space="preserve">• </w:t>
      </w:r>
      <w:r>
        <w:rPr>
          <w:b/>
        </w:rPr>
        <w:t xml:space="preserve">Why does that action fail?</w:t>
      </w:r>
      <w:r>
        <w:t xml:space="preserve"> Manual data entry takes 3–4 weeks and requires scarce desktop computers.</w:t>
      </w:r>
    </w:p>
    <w:p>
      <w:pPr>
        <w:ind w:left="400"/>
        <w:rPr/>
      </w:pPr>
      <w:r>
        <w:t xml:space="preserve">• </w:t>
      </w:r>
      <w:r>
        <w:rPr>
          <w:b/>
        </w:rPr>
        <w:t xml:space="preserve">Consequence of inaction?</w:t>
      </w:r>
      <w:r>
        <w:t xml:space="preserve"> Public health epidemiologists remain blind to rising regional hypertension and diabetes clusters for weeks.</w:t>
      </w:r>
    </w:p>
    <w:p>
      <w:pPr>
        <w:ind w:left="400"/>
        <w:rPr/>
      </w:pPr>
      <w:r>
        <w:t xml:space="preserve">• </w:t>
      </w:r>
      <w:r>
        <w:rPr>
          <w:b/>
        </w:rPr>
        <w:t xml:space="preserve">Evidence base:</w:t>
      </w:r>
      <w:r>
        <w:t xml:space="preserve"> Decentralized primary care paper records suffer an average </w:t>
      </w:r>
      <w:r>
        <w:rPr>
          <w:b/>
        </w:rPr>
        <w:t xml:space="preserve">28-day reporting delay</w:t>
      </w:r>
      <w:r>
        <w:t xml:space="preserve"> (</w:t>
      </w:r>
      <w:r>
        <w:rPr>
          <w:i/>
        </w:rPr>
        <w:t xml:space="preserve">WHO Bulletin</w:t>
      </w:r>
      <w:r>
        <w:t xml:space="preserve">).</w:t>
      </w:r>
    </w:p>
    <w:p>
      <w:pPr>
        <w:ind w:left="400"/>
        <w:rPr/>
      </w:pPr>
      <w:r>
        <w:t xml:space="preserve">• </w:t>
      </w:r>
      <w:r>
        <w:rPr>
          <w:b/>
        </w:rPr>
        <w:t xml:space="preserve">Importance &amp; Unmet Need:</w:t>
      </w:r>
      <w:r>
        <w:t xml:space="preserve"> Community health workers are the frontline backbone of public health; manual entry detracts from patient home visits.</w:t>
      </w:r>
    </w:p>
    <w:p>
      <w:pPr>
        <w:ind w:left="400"/>
        <w:rPr/>
      </w:pPr>
      <w:r>
        <w:t xml:space="preserve">• </w:t>
      </w:r>
      <w:r>
        <w:rPr>
          <w:b/>
        </w:rPr>
        <w:t xml:space="preserve">Population Health Fit:</w:t>
      </w:r>
      <w:r>
        <w:t xml:space="preserve"> Provides a zero-infrastructure batch digitizer empowering low-bandwidth frontline health networks.</w:t>
      </w:r>
    </w:p>
    <w:p>
      <w:pPr>
        <w:pBdr>
          <w:bottom w:val="single" w:sz="8" w:space="8" w:color="CBD5E1"/>
        </w:pBdr>
      </w:pPr>
    </w:p>
    <w:p>
      <w:pPr>
        <w:pStyle w:val="Heading2"/>
      </w:pPr>
      <w:r>
        <w:t xml:space="preserve">7. Section 6: Transparent Multi-Criteria Scoring &amp; Ranking (Step 5)</w:t>
      </w:r>
    </w:p>
    <w:p>
      <w:pPr>
        <w:pStyle w:val="Heading3"/>
      </w:pPr>
      <w:r>
        <w:t xml:space="preserve">7.1 Weighted Scoring Rubric</w:t>
      </w:r>
    </w:p>
    <w:p>
      <w:pPr>
        <w:pStyle w:val="Normal"/>
      </w:pPr>
      <w:r>
        <w:t xml:space="preserve">To maintain fairness, </w:t>
      </w:r>
      <w:r>
        <w:rPr>
          <w:b/>
        </w:rPr>
        <w:t xml:space="preserve">Execution Feasibility is evaluated strictly on the intrinsic technical viability of the data and optical modality itself</w:t>
      </w:r>
      <w:r>
        <w:t xml:space="preserve">, rather than granting any head start based on existing code in this repository:</w:t>
      </w:r>
    </w:p>
    <w:p>
      <w:pPr>
        <w:ind w:left="400"/>
        <w:rPr/>
      </w:pPr>
      <w:r>
        <w:t xml:space="preserve">• </w:t>
      </w:r>
      <w:r>
        <w:t xml:space="preserve">Magnitude of Health Impact — 20%</w:t>
      </w:r>
    </w:p>
    <w:p>
      <w:pPr>
        <w:ind w:left="400"/>
        <w:rPr/>
      </w:pPr>
      <w:r>
        <w:t xml:space="preserve">• </w:t>
      </w:r>
      <w:r>
        <w:t xml:space="preserve">Strength of Evidence — 15%</w:t>
      </w:r>
    </w:p>
    <w:p>
      <w:pPr>
        <w:ind w:left="400"/>
        <w:rPr/>
      </w:pPr>
      <w:r>
        <w:t xml:space="preserve">• </w:t>
      </w:r>
      <w:r>
        <w:t xml:space="preserve">Size of Unmet Need — 15%</w:t>
      </w:r>
    </w:p>
    <w:p>
      <w:pPr>
        <w:ind w:left="400"/>
        <w:rPr/>
      </w:pPr>
      <w:r>
        <w:t xml:space="preserve">• </w:t>
      </w:r>
      <w:r>
        <w:t xml:space="preserve">Potential for Upstream Prevention — 15%</w:t>
      </w:r>
    </w:p>
    <w:p>
      <w:pPr>
        <w:ind w:left="400"/>
        <w:rPr/>
      </w:pPr>
      <w:r>
        <w:t xml:space="preserve">• </w:t>
      </w:r>
      <w:r>
        <w:t xml:space="preserve">Population Scalability — 10%</w:t>
      </w:r>
    </w:p>
    <w:p>
      <w:pPr>
        <w:ind w:left="400"/>
        <w:rPr/>
      </w:pPr>
      <w:r>
        <w:t xml:space="preserve">• </w:t>
      </w:r>
      <w:r>
        <w:t xml:space="preserve">Technical / Data Feasibility — 10%</w:t>
      </w:r>
    </w:p>
    <w:p>
      <w:pPr>
        <w:ind w:left="400"/>
        <w:rPr/>
      </w:pPr>
      <w:r>
        <w:t xml:space="preserve">• </w:t>
      </w:r>
      <w:r>
        <w:t xml:space="preserve">Innovation / Differentiation — 10%</w:t>
      </w:r>
    </w:p>
    <w:p>
      <w:pPr>
        <w:ind w:left="400"/>
        <w:rPr/>
      </w:pPr>
      <w:r>
        <w:t xml:space="preserve">• </w:t>
      </w:r>
      <w:r>
        <w:t xml:space="preserve">Competition Fit — 5%</w:t>
      </w:r>
    </w:p>
    <w:p>
      <w:pPr>
        <w:pStyle w:val="Heading3"/>
      </w:pPr>
      <w:r>
        <w:t xml:space="preserve">7.2 Comprehensive Evaluation Matrix</w:t>
      </w:r>
    </w:p>
    <w:p>
      <w:pPr>
        <w:pStyle w:val="Normal"/>
      </w:pPr>
      <w:r>
        <w:rPr>
          <w:i/>
        </w:rPr>
        <w:t xml:space="preserve"/>
      </w:r>
      <w:r>
        <w:t xml:space="preserve">\text{Weighted Total} = \sum (\text{Score}_i \times \text{Weight}_i)</w:t>
      </w:r>
      <w:r>
        <w:rPr>
          <w:i/>
        </w:rPr>
        <w:t xml:space="preserve"/>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color="auto" w:fill="F1F5F9"/>
          </w:tcPr>
          <w:p>
            <w:pPr>
              <w:spacing w:after="60"/>
            </w:pPr>
            <w:r>
              <w:t xml:space="preserve">Opportunity</w:t>
            </w:r>
          </w:p>
        </w:tc>
        <w:tc>
          <w:tcPr>
            <w:shd w:val="clear" w:color="auto" w:fill="F1F5F9"/>
          </w:tcPr>
          <w:p>
            <w:pPr>
              <w:spacing w:after="60"/>
            </w:pPr>
            <w:r>
              <w:t xml:space="preserve">Impact (20%)</w:t>
            </w:r>
          </w:p>
        </w:tc>
        <w:tc>
          <w:tcPr>
            <w:shd w:val="clear" w:color="auto" w:fill="F1F5F9"/>
          </w:tcPr>
          <w:p>
            <w:pPr>
              <w:spacing w:after="60"/>
            </w:pPr>
            <w:r>
              <w:t xml:space="preserve">Evidence (15%)</w:t>
            </w:r>
          </w:p>
        </w:tc>
        <w:tc>
          <w:tcPr>
            <w:shd w:val="clear" w:color="auto" w:fill="F1F5F9"/>
          </w:tcPr>
          <w:p>
            <w:pPr>
              <w:spacing w:after="60"/>
            </w:pPr>
            <w:r>
              <w:t xml:space="preserve">Unmet Need (15%)</w:t>
            </w:r>
          </w:p>
        </w:tc>
        <w:tc>
          <w:tcPr>
            <w:shd w:val="clear" w:color="auto" w:fill="F1F5F9"/>
          </w:tcPr>
          <w:p>
            <w:pPr>
              <w:spacing w:after="60"/>
            </w:pPr>
            <w:r>
              <w:t xml:space="preserve">Prevention (15%)</w:t>
            </w:r>
          </w:p>
        </w:tc>
        <w:tc>
          <w:tcPr>
            <w:shd w:val="clear" w:color="auto" w:fill="F1F5F9"/>
          </w:tcPr>
          <w:p>
            <w:pPr>
              <w:spacing w:after="60"/>
            </w:pPr>
            <w:r>
              <w:t xml:space="preserve">Scalability (10%)</w:t>
            </w:r>
          </w:p>
        </w:tc>
        <w:tc>
          <w:tcPr>
            <w:shd w:val="clear" w:color="auto" w:fill="F1F5F9"/>
          </w:tcPr>
          <w:p>
            <w:pPr>
              <w:spacing w:after="60"/>
            </w:pPr>
            <w:r>
              <w:t xml:space="preserve">Feasibility (10%)</w:t>
            </w:r>
          </w:p>
        </w:tc>
        <w:tc>
          <w:tcPr>
            <w:shd w:val="clear" w:color="auto" w:fill="F1F5F9"/>
          </w:tcPr>
          <w:p>
            <w:pPr>
              <w:spacing w:after="60"/>
            </w:pPr>
            <w:r>
              <w:t xml:space="preserve">Innovation (10%)</w:t>
            </w:r>
          </w:p>
        </w:tc>
        <w:tc>
          <w:tcPr>
            <w:shd w:val="clear" w:color="auto" w:fill="F1F5F9"/>
          </w:tcPr>
          <w:p>
            <w:pPr>
              <w:spacing w:after="60"/>
            </w:pPr>
            <w:r>
              <w:t xml:space="preserve">Fit (5%)</w:t>
            </w:r>
          </w:p>
        </w:tc>
        <w:tc>
          <w:tcPr>
            <w:shd w:val="clear" w:color="auto" w:fill="F1F5F9"/>
          </w:tcPr>
          <w:p>
            <w:pPr>
              <w:spacing w:after="60"/>
            </w:pPr>
            <w:r>
              <w:t xml:space="preserve">Weighted Total</w:t>
            </w:r>
          </w:p>
        </w:tc>
        <w:tc>
          <w:tcPr>
            <w:shd w:val="clear" w:color="auto" w:fill="F1F5F9"/>
          </w:tcPr>
          <w:p>
            <w:pPr>
              <w:spacing w:after="60"/>
            </w:pPr>
            <w:r>
              <w:t xml:space="preserve">Rank</w:t>
            </w:r>
          </w:p>
        </w:tc>
      </w:tr>
      <w:tr>
        <w:tc>
          <w:tcPr>
            <w:shd w:val="clear" w:color="auto" w:fill="FFFFFF"/>
          </w:tcPr>
          <w:p>
            <w:pPr>
              <w:spacing w:after="40"/>
            </w:pPr>
            <w:r>
              <w:rPr>
                <w:b/>
              </w:rPr>
              <w:t xml:space="preserve">P1: Early Cardiorenal Disease (Early CKD)</w:t>
            </w:r>
          </w:p>
        </w:tc>
        <w:tc>
          <w:tcPr>
            <w:shd w:val="clear" w:color="auto" w:fill="FFFFFF"/>
          </w:tcPr>
          <w:p>
            <w:pPr>
              <w:spacing w:after="40"/>
            </w:pPr>
            <w:r>
              <w:rPr>
                <w:b/>
              </w:rPr>
              <w:t xml:space="preserve">5.0</w:t>
            </w:r>
          </w:p>
        </w:tc>
        <w:tc>
          <w:tcPr>
            <w:shd w:val="clear" w:color="auto" w:fill="FFFFFF"/>
          </w:tcPr>
          <w:p>
            <w:pPr>
              <w:spacing w:after="40"/>
            </w:pPr>
            <w:r>
              <w:rPr>
                <w:b/>
              </w:rPr>
              <w:t xml:space="preserve">5.0</w:t>
            </w:r>
          </w:p>
        </w:tc>
        <w:tc>
          <w:tcPr>
            <w:shd w:val="clear" w:color="auto" w:fill="FFFFFF"/>
          </w:tcPr>
          <w:p>
            <w:pPr>
              <w:spacing w:after="40"/>
            </w:pPr>
            <w:r>
              <w:rPr>
                <w:b/>
              </w:rPr>
              <w:t xml:space="preserve">5.0</w:t>
            </w:r>
          </w:p>
        </w:tc>
        <w:tc>
          <w:tcPr>
            <w:shd w:val="clear" w:color="auto" w:fill="FFFFFF"/>
          </w:tcPr>
          <w:p>
            <w:pPr>
              <w:spacing w:after="40"/>
            </w:pPr>
            <w:r>
              <w:rPr>
                <w:b/>
              </w:rPr>
              <w:t xml:space="preserve">5.0</w:t>
            </w:r>
          </w:p>
        </w:tc>
        <w:tc>
          <w:tcPr>
            <w:shd w:val="clear" w:color="auto" w:fill="FFFFFF"/>
          </w:tcPr>
          <w:p>
            <w:pPr>
              <w:spacing w:after="40"/>
            </w:pPr>
            <w:r>
              <w:t xml:space="preserve">4.5</w:t>
            </w:r>
          </w:p>
        </w:tc>
        <w:tc>
          <w:tcPr>
            <w:shd w:val="clear" w:color="auto" w:fill="FFFFFF"/>
          </w:tcPr>
          <w:p>
            <w:pPr>
              <w:spacing w:after="40"/>
            </w:pPr>
            <w:r>
              <w:t xml:space="preserve">4.5</w:t>
            </w:r>
          </w:p>
        </w:tc>
        <w:tc>
          <w:tcPr>
            <w:shd w:val="clear" w:color="auto" w:fill="FFFFFF"/>
          </w:tcPr>
          <w:p>
            <w:pPr>
              <w:spacing w:after="40"/>
            </w:pPr>
            <w:r>
              <w:t xml:space="preserve">4.2</w:t>
            </w:r>
          </w:p>
        </w:tc>
        <w:tc>
          <w:tcPr>
            <w:shd w:val="clear" w:color="auto" w:fill="FFFFFF"/>
          </w:tcPr>
          <w:p>
            <w:pPr>
              <w:spacing w:after="40"/>
            </w:pPr>
            <w:r>
              <w:rPr>
                <w:b/>
              </w:rPr>
              <w:t xml:space="preserve">5.0</w:t>
            </w:r>
          </w:p>
        </w:tc>
        <w:tc>
          <w:tcPr>
            <w:shd w:val="clear" w:color="auto" w:fill="FFFFFF"/>
          </w:tcPr>
          <w:p>
            <w:pPr>
              <w:spacing w:after="40"/>
            </w:pPr>
            <w:r>
              <w:rPr>
                <w:b/>
              </w:rPr>
              <w:t xml:space="preserve">4.82</w:t>
            </w:r>
          </w:p>
        </w:tc>
        <w:tc>
          <w:tcPr>
            <w:shd w:val="clear" w:color="auto" w:fill="FFFFFF"/>
          </w:tcPr>
          <w:p>
            <w:pPr>
              <w:spacing w:after="40"/>
            </w:pPr>
            <w:r>
              <w:t xml:space="preserve">🥇 </w:t>
            </w:r>
            <w:r>
              <w:rPr>
                <w:b/>
              </w:rPr>
              <w:t xml:space="preserve">#1</w:t>
            </w:r>
          </w:p>
        </w:tc>
      </w:tr>
      <w:tr>
        <w:tc>
          <w:tcPr>
            <w:shd w:val="clear" w:color="auto" w:fill="F8FAFC"/>
          </w:tcPr>
          <w:p>
            <w:pPr>
              <w:spacing w:after="40"/>
            </w:pPr>
            <w:r>
              <w:rPr>
                <w:b/>
              </w:rPr>
              <w:t xml:space="preserve">P2: Heat-Nephropathy &amp; Wearable Fallacy</w:t>
            </w:r>
          </w:p>
        </w:tc>
        <w:tc>
          <w:tcPr>
            <w:shd w:val="clear" w:color="auto" w:fill="F8FAFC"/>
          </w:tcPr>
          <w:p>
            <w:pPr>
              <w:spacing w:after="40"/>
            </w:pPr>
            <w:r>
              <w:t xml:space="preserve">4.8</w:t>
            </w:r>
          </w:p>
        </w:tc>
        <w:tc>
          <w:tcPr>
            <w:shd w:val="clear" w:color="auto" w:fill="F8FAFC"/>
          </w:tcPr>
          <w:p>
            <w:pPr>
              <w:spacing w:after="40"/>
            </w:pPr>
            <w:r>
              <w:t xml:space="preserve">4.6</w:t>
            </w:r>
          </w:p>
        </w:tc>
        <w:tc>
          <w:tcPr>
            <w:shd w:val="clear" w:color="auto" w:fill="F8FAFC"/>
          </w:tcPr>
          <w:p>
            <w:pPr>
              <w:spacing w:after="40"/>
            </w:pPr>
            <w:r>
              <w:t xml:space="preserve">4.9</w:t>
            </w:r>
          </w:p>
        </w:tc>
        <w:tc>
          <w:tcPr>
            <w:shd w:val="clear" w:color="auto" w:fill="F8FAFC"/>
          </w:tcPr>
          <w:p>
            <w:pPr>
              <w:spacing w:after="40"/>
            </w:pPr>
            <w:r>
              <w:t xml:space="preserve">4.8</w:t>
            </w:r>
          </w:p>
        </w:tc>
        <w:tc>
          <w:tcPr>
            <w:shd w:val="clear" w:color="auto" w:fill="F8FAFC"/>
          </w:tcPr>
          <w:p>
            <w:pPr>
              <w:spacing w:after="40"/>
            </w:pPr>
            <w:r>
              <w:rPr>
                <w:b/>
              </w:rPr>
              <w:t xml:space="preserve">4.8</w:t>
            </w:r>
          </w:p>
        </w:tc>
        <w:tc>
          <w:tcPr>
            <w:shd w:val="clear" w:color="auto" w:fill="F8FAFC"/>
          </w:tcPr>
          <w:p>
            <w:pPr>
              <w:spacing w:after="40"/>
            </w:pPr>
            <w:r>
              <w:t xml:space="preserve">4.4</w:t>
            </w:r>
          </w:p>
        </w:tc>
        <w:tc>
          <w:tcPr>
            <w:shd w:val="clear" w:color="auto" w:fill="F8FAFC"/>
          </w:tcPr>
          <w:p>
            <w:pPr>
              <w:spacing w:after="40"/>
            </w:pPr>
            <w:r>
              <w:rPr>
                <w:b/>
              </w:rPr>
              <w:t xml:space="preserve">4.9</w:t>
            </w:r>
          </w:p>
        </w:tc>
        <w:tc>
          <w:tcPr>
            <w:shd w:val="clear" w:color="auto" w:fill="F8FAFC"/>
          </w:tcPr>
          <w:p>
            <w:pPr>
              <w:spacing w:after="40"/>
            </w:pPr>
            <w:r>
              <w:rPr>
                <w:b/>
              </w:rPr>
              <w:t xml:space="preserve">5.0</w:t>
            </w:r>
          </w:p>
        </w:tc>
        <w:tc>
          <w:tcPr>
            <w:shd w:val="clear" w:color="auto" w:fill="F8FAFC"/>
          </w:tcPr>
          <w:p>
            <w:pPr>
              <w:spacing w:after="40"/>
            </w:pPr>
            <w:r>
              <w:rPr>
                <w:b/>
              </w:rPr>
              <w:t xml:space="preserve">4.77</w:t>
            </w:r>
          </w:p>
        </w:tc>
        <w:tc>
          <w:tcPr>
            <w:shd w:val="clear" w:color="auto" w:fill="F8FAFC"/>
          </w:tcPr>
          <w:p>
            <w:pPr>
              <w:spacing w:after="40"/>
            </w:pPr>
            <w:r>
              <w:t xml:space="preserve">🥈 </w:t>
            </w:r>
            <w:r>
              <w:rPr>
                <w:b/>
              </w:rPr>
              <w:t xml:space="preserve">#2</w:t>
            </w:r>
          </w:p>
        </w:tc>
      </w:tr>
      <w:tr>
        <w:tc>
          <w:tcPr>
            <w:shd w:val="clear" w:color="auto" w:fill="FFFFFF"/>
          </w:tcPr>
          <w:p>
            <w:pPr>
              <w:spacing w:after="40"/>
            </w:pPr>
            <w:r>
              <w:rPr>
                <w:b/>
              </w:rPr>
              <w:t xml:space="preserve">P4: Digital Divide &amp; Brain Health Mimics</w:t>
            </w:r>
          </w:p>
        </w:tc>
        <w:tc>
          <w:tcPr>
            <w:shd w:val="clear" w:color="auto" w:fill="FFFFFF"/>
          </w:tcPr>
          <w:p>
            <w:pPr>
              <w:spacing w:after="40"/>
            </w:pPr>
            <w:r>
              <w:t xml:space="preserve">4.4</w:t>
            </w:r>
          </w:p>
        </w:tc>
        <w:tc>
          <w:tcPr>
            <w:shd w:val="clear" w:color="auto" w:fill="FFFFFF"/>
          </w:tcPr>
          <w:p>
            <w:pPr>
              <w:spacing w:after="40"/>
            </w:pPr>
            <w:r>
              <w:t xml:space="preserve">4.5</w:t>
            </w:r>
          </w:p>
        </w:tc>
        <w:tc>
          <w:tcPr>
            <w:shd w:val="clear" w:color="auto" w:fill="FFFFFF"/>
          </w:tcPr>
          <w:p>
            <w:pPr>
              <w:spacing w:after="40"/>
            </w:pPr>
            <w:r>
              <w:t xml:space="preserve">4.6</w:t>
            </w:r>
          </w:p>
        </w:tc>
        <w:tc>
          <w:tcPr>
            <w:shd w:val="clear" w:color="auto" w:fill="FFFFFF"/>
          </w:tcPr>
          <w:p>
            <w:pPr>
              <w:spacing w:after="40"/>
            </w:pPr>
            <w:r>
              <w:t xml:space="preserve">4.5</w:t>
            </w:r>
          </w:p>
        </w:tc>
        <w:tc>
          <w:tcPr>
            <w:shd w:val="clear" w:color="auto" w:fill="FFFFFF"/>
          </w:tcPr>
          <w:p>
            <w:pPr>
              <w:spacing w:after="40"/>
            </w:pPr>
            <w:r>
              <w:t xml:space="preserve">4.3</w:t>
            </w:r>
          </w:p>
        </w:tc>
        <w:tc>
          <w:tcPr>
            <w:shd w:val="clear" w:color="auto" w:fill="FFFFFF"/>
          </w:tcPr>
          <w:p>
            <w:pPr>
              <w:spacing w:after="40"/>
            </w:pPr>
            <w:r>
              <w:t xml:space="preserve">4.0</w:t>
            </w:r>
          </w:p>
        </w:tc>
        <w:tc>
          <w:tcPr>
            <w:shd w:val="clear" w:color="auto" w:fill="FFFFFF"/>
          </w:tcPr>
          <w:p>
            <w:pPr>
              <w:spacing w:after="40"/>
            </w:pPr>
            <w:r>
              <w:t xml:space="preserve">4.8</w:t>
            </w:r>
          </w:p>
        </w:tc>
        <w:tc>
          <w:tcPr>
            <w:shd w:val="clear" w:color="auto" w:fill="FFFFFF"/>
          </w:tcPr>
          <w:p>
            <w:pPr>
              <w:spacing w:after="40"/>
            </w:pPr>
            <w:r>
              <w:t xml:space="preserve">4.8</w:t>
            </w:r>
          </w:p>
        </w:tc>
        <w:tc>
          <w:tcPr>
            <w:shd w:val="clear" w:color="auto" w:fill="FFFFFF"/>
          </w:tcPr>
          <w:p>
            <w:pPr>
              <w:spacing w:after="40"/>
            </w:pPr>
            <w:r>
              <w:rPr>
                <w:b/>
              </w:rPr>
              <w:t xml:space="preserve">4.47</w:t>
            </w:r>
          </w:p>
        </w:tc>
        <w:tc>
          <w:tcPr>
            <w:shd w:val="clear" w:color="auto" w:fill="FFFFFF"/>
          </w:tcPr>
          <w:p>
            <w:pPr>
              <w:spacing w:after="40"/>
            </w:pPr>
            <w:r>
              <w:t xml:space="preserve">🥉 </w:t>
            </w:r>
            <w:r>
              <w:rPr>
                <w:b/>
              </w:rPr>
              <w:t xml:space="preserve">#3</w:t>
            </w:r>
          </w:p>
        </w:tc>
      </w:tr>
      <w:tr>
        <w:tc>
          <w:tcPr>
            <w:shd w:val="clear" w:color="auto" w:fill="F8FAFC"/>
          </w:tcPr>
          <w:p>
            <w:pPr>
              <w:spacing w:after="40"/>
            </w:pPr>
            <w:r>
              <w:rPr>
                <w:b/>
              </w:rPr>
              <w:t xml:space="preserve">P6: Expat Vaccine Drag &amp; Pediatric ASQ</w:t>
            </w:r>
          </w:p>
        </w:tc>
        <w:tc>
          <w:tcPr>
            <w:shd w:val="clear" w:color="auto" w:fill="F8FAFC"/>
          </w:tcPr>
          <w:p>
            <w:pPr>
              <w:spacing w:after="40"/>
            </w:pPr>
            <w:r>
              <w:t xml:space="preserve">4.1</w:t>
            </w:r>
          </w:p>
        </w:tc>
        <w:tc>
          <w:tcPr>
            <w:shd w:val="clear" w:color="auto" w:fill="F8FAFC"/>
          </w:tcPr>
          <w:p>
            <w:pPr>
              <w:spacing w:after="40"/>
            </w:pPr>
            <w:r>
              <w:t xml:space="preserve">4.5</w:t>
            </w:r>
          </w:p>
        </w:tc>
        <w:tc>
          <w:tcPr>
            <w:shd w:val="clear" w:color="auto" w:fill="F8FAFC"/>
          </w:tcPr>
          <w:p>
            <w:pPr>
              <w:spacing w:after="40"/>
            </w:pPr>
            <w:r>
              <w:t xml:space="preserve">4.3</w:t>
            </w:r>
          </w:p>
        </w:tc>
        <w:tc>
          <w:tcPr>
            <w:shd w:val="clear" w:color="auto" w:fill="F8FAFC"/>
          </w:tcPr>
          <w:p>
            <w:pPr>
              <w:spacing w:after="40"/>
            </w:pPr>
            <w:r>
              <w:t xml:space="preserve">4.6</w:t>
            </w:r>
          </w:p>
        </w:tc>
        <w:tc>
          <w:tcPr>
            <w:shd w:val="clear" w:color="auto" w:fill="F8FAFC"/>
          </w:tcPr>
          <w:p>
            <w:pPr>
              <w:spacing w:after="40"/>
            </w:pPr>
            <w:r>
              <w:t xml:space="preserve">4.2</w:t>
            </w:r>
          </w:p>
        </w:tc>
        <w:tc>
          <w:tcPr>
            <w:shd w:val="clear" w:color="auto" w:fill="F8FAFC"/>
          </w:tcPr>
          <w:p>
            <w:pPr>
              <w:spacing w:after="40"/>
            </w:pPr>
            <w:r>
              <w:t xml:space="preserve">4.2</w:t>
            </w:r>
          </w:p>
        </w:tc>
        <w:tc>
          <w:tcPr>
            <w:shd w:val="clear" w:color="auto" w:fill="F8FAFC"/>
          </w:tcPr>
          <w:p>
            <w:pPr>
              <w:spacing w:after="40"/>
            </w:pPr>
            <w:r>
              <w:t xml:space="preserve">3.9</w:t>
            </w:r>
          </w:p>
        </w:tc>
        <w:tc>
          <w:tcPr>
            <w:shd w:val="clear" w:color="auto" w:fill="F8FAFC"/>
          </w:tcPr>
          <w:p>
            <w:pPr>
              <w:spacing w:after="40"/>
            </w:pPr>
            <w:r>
              <w:t xml:space="preserve">4.4</w:t>
            </w:r>
          </w:p>
        </w:tc>
        <w:tc>
          <w:tcPr>
            <w:shd w:val="clear" w:color="auto" w:fill="F8FAFC"/>
          </w:tcPr>
          <w:p>
            <w:pPr>
              <w:spacing w:after="40"/>
            </w:pPr>
            <w:r>
              <w:rPr>
                <w:b/>
              </w:rPr>
              <w:t xml:space="preserve">4.28</w:t>
            </w:r>
          </w:p>
        </w:tc>
        <w:tc>
          <w:tcPr>
            <w:shd w:val="clear" w:color="auto" w:fill="F8FAFC"/>
          </w:tcPr>
          <w:p>
            <w:pPr>
              <w:spacing w:after="40"/>
            </w:pPr>
            <w:r>
              <w:rPr>
                <w:b/>
              </w:rPr>
              <w:t xml:space="preserve">#4</w:t>
            </w:r>
          </w:p>
        </w:tc>
      </w:tr>
      <w:tr>
        <w:tc>
          <w:tcPr>
            <w:shd w:val="clear" w:color="auto" w:fill="FFFFFF"/>
          </w:tcPr>
          <w:p>
            <w:pPr>
              <w:spacing w:after="40"/>
            </w:pPr>
            <w:r>
              <w:rPr>
                <w:b/>
              </w:rPr>
              <w:t xml:space="preserve">P3: Dark Data in Enterprise Sick Notes</w:t>
            </w:r>
          </w:p>
        </w:tc>
        <w:tc>
          <w:tcPr>
            <w:shd w:val="clear" w:color="auto" w:fill="FFFFFF"/>
          </w:tcPr>
          <w:p>
            <w:pPr>
              <w:spacing w:after="40"/>
            </w:pPr>
            <w:r>
              <w:t xml:space="preserve">4.0</w:t>
            </w:r>
          </w:p>
        </w:tc>
        <w:tc>
          <w:tcPr>
            <w:shd w:val="clear" w:color="auto" w:fill="FFFFFF"/>
          </w:tcPr>
          <w:p>
            <w:pPr>
              <w:spacing w:after="40"/>
            </w:pPr>
            <w:r>
              <w:t xml:space="preserve">4.2</w:t>
            </w:r>
          </w:p>
        </w:tc>
        <w:tc>
          <w:tcPr>
            <w:shd w:val="clear" w:color="auto" w:fill="FFFFFF"/>
          </w:tcPr>
          <w:p>
            <w:pPr>
              <w:spacing w:after="40"/>
            </w:pPr>
            <w:r>
              <w:t xml:space="preserve">4.4</w:t>
            </w:r>
          </w:p>
        </w:tc>
        <w:tc>
          <w:tcPr>
            <w:shd w:val="clear" w:color="auto" w:fill="FFFFFF"/>
          </w:tcPr>
          <w:p>
            <w:pPr>
              <w:spacing w:after="40"/>
            </w:pPr>
            <w:r>
              <w:t xml:space="preserve">4.2</w:t>
            </w:r>
          </w:p>
        </w:tc>
        <w:tc>
          <w:tcPr>
            <w:shd w:val="clear" w:color="auto" w:fill="FFFFFF"/>
          </w:tcPr>
          <w:p>
            <w:pPr>
              <w:spacing w:after="40"/>
            </w:pPr>
            <w:r>
              <w:t xml:space="preserve">4.6</w:t>
            </w:r>
          </w:p>
        </w:tc>
        <w:tc>
          <w:tcPr>
            <w:shd w:val="clear" w:color="auto" w:fill="FFFFFF"/>
          </w:tcPr>
          <w:p>
            <w:pPr>
              <w:spacing w:after="40"/>
            </w:pPr>
            <w:r>
              <w:t xml:space="preserve">4.1</w:t>
            </w:r>
          </w:p>
        </w:tc>
        <w:tc>
          <w:tcPr>
            <w:shd w:val="clear" w:color="auto" w:fill="FFFFFF"/>
          </w:tcPr>
          <w:p>
            <w:pPr>
              <w:spacing w:after="40"/>
            </w:pPr>
            <w:r>
              <w:t xml:space="preserve">4.3</w:t>
            </w:r>
          </w:p>
        </w:tc>
        <w:tc>
          <w:tcPr>
            <w:shd w:val="clear" w:color="auto" w:fill="FFFFFF"/>
          </w:tcPr>
          <w:p>
            <w:pPr>
              <w:spacing w:after="40"/>
            </w:pPr>
            <w:r>
              <w:t xml:space="preserve">4.4</w:t>
            </w:r>
          </w:p>
        </w:tc>
        <w:tc>
          <w:tcPr>
            <w:shd w:val="clear" w:color="auto" w:fill="FFFFFF"/>
          </w:tcPr>
          <w:p>
            <w:pPr>
              <w:spacing w:after="40"/>
            </w:pPr>
            <w:r>
              <w:rPr>
                <w:b/>
              </w:rPr>
              <w:t xml:space="preserve">4.24</w:t>
            </w:r>
          </w:p>
        </w:tc>
        <w:tc>
          <w:tcPr>
            <w:shd w:val="clear" w:color="auto" w:fill="FFFFFF"/>
          </w:tcPr>
          <w:p>
            <w:pPr>
              <w:spacing w:after="40"/>
            </w:pPr>
            <w:r>
              <w:rPr>
                <w:b/>
              </w:rPr>
              <w:t xml:space="preserve">#5</w:t>
            </w:r>
          </w:p>
        </w:tc>
      </w:tr>
      <w:tr>
        <w:tc>
          <w:tcPr>
            <w:shd w:val="clear" w:color="auto" w:fill="F8FAFC"/>
          </w:tcPr>
          <w:p>
            <w:pPr>
              <w:spacing w:after="40"/>
            </w:pPr>
            <w:r>
              <w:rPr>
                <w:b/>
              </w:rPr>
              <w:t xml:space="preserve">P7: Phenotypic Silos in Genetic Pedigrees</w:t>
            </w:r>
          </w:p>
        </w:tc>
        <w:tc>
          <w:tcPr>
            <w:shd w:val="clear" w:color="auto" w:fill="F8FAFC"/>
          </w:tcPr>
          <w:p>
            <w:pPr>
              <w:spacing w:after="40"/>
            </w:pPr>
            <w:r>
              <w:t xml:space="preserve">4.3</w:t>
            </w:r>
          </w:p>
        </w:tc>
        <w:tc>
          <w:tcPr>
            <w:shd w:val="clear" w:color="auto" w:fill="F8FAFC"/>
          </w:tcPr>
          <w:p>
            <w:pPr>
              <w:spacing w:after="40"/>
            </w:pPr>
            <w:r>
              <w:t xml:space="preserve">4.4</w:t>
            </w:r>
          </w:p>
        </w:tc>
        <w:tc>
          <w:tcPr>
            <w:shd w:val="clear" w:color="auto" w:fill="F8FAFC"/>
          </w:tcPr>
          <w:p>
            <w:pPr>
              <w:spacing w:after="40"/>
            </w:pPr>
            <w:r>
              <w:t xml:space="preserve">4.2</w:t>
            </w:r>
          </w:p>
        </w:tc>
        <w:tc>
          <w:tcPr>
            <w:shd w:val="clear" w:color="auto" w:fill="F8FAFC"/>
          </w:tcPr>
          <w:p>
            <w:pPr>
              <w:spacing w:after="40"/>
            </w:pPr>
            <w:r>
              <w:t xml:space="preserve">4.5</w:t>
            </w:r>
          </w:p>
        </w:tc>
        <w:tc>
          <w:tcPr>
            <w:shd w:val="clear" w:color="auto" w:fill="F8FAFC"/>
          </w:tcPr>
          <w:p>
            <w:pPr>
              <w:spacing w:after="40"/>
            </w:pPr>
            <w:r>
              <w:t xml:space="preserve">3.2</w:t>
            </w:r>
          </w:p>
        </w:tc>
        <w:tc>
          <w:tcPr>
            <w:shd w:val="clear" w:color="auto" w:fill="F8FAFC"/>
          </w:tcPr>
          <w:p>
            <w:pPr>
              <w:spacing w:after="40"/>
            </w:pPr>
            <w:r>
              <w:t xml:space="preserve">3.2</w:t>
            </w:r>
          </w:p>
        </w:tc>
        <w:tc>
          <w:tcPr>
            <w:shd w:val="clear" w:color="auto" w:fill="F8FAFC"/>
          </w:tcPr>
          <w:p>
            <w:pPr>
              <w:spacing w:after="40"/>
            </w:pPr>
            <w:r>
              <w:t xml:space="preserve">4.7</w:t>
            </w:r>
          </w:p>
        </w:tc>
        <w:tc>
          <w:tcPr>
            <w:shd w:val="clear" w:color="auto" w:fill="F8FAFC"/>
          </w:tcPr>
          <w:p>
            <w:pPr>
              <w:spacing w:after="40"/>
            </w:pPr>
            <w:r>
              <w:t xml:space="preserve">4.5</w:t>
            </w:r>
          </w:p>
        </w:tc>
        <w:tc>
          <w:tcPr>
            <w:shd w:val="clear" w:color="auto" w:fill="F8FAFC"/>
          </w:tcPr>
          <w:p>
            <w:pPr>
              <w:spacing w:after="40"/>
            </w:pPr>
            <w:r>
              <w:rPr>
                <w:b/>
              </w:rPr>
              <w:t xml:space="preserve">4.16</w:t>
            </w:r>
          </w:p>
        </w:tc>
        <w:tc>
          <w:tcPr>
            <w:shd w:val="clear" w:color="auto" w:fill="F8FAFC"/>
          </w:tcPr>
          <w:p>
            <w:pPr>
              <w:spacing w:after="40"/>
            </w:pPr>
            <w:r>
              <w:rPr>
                <w:b/>
              </w:rPr>
              <w:t xml:space="preserve">#6</w:t>
            </w:r>
          </w:p>
        </w:tc>
      </w:tr>
      <w:tr>
        <w:tc>
          <w:tcPr>
            <w:shd w:val="clear" w:color="auto" w:fill="FFFFFF"/>
          </w:tcPr>
          <w:p>
            <w:pPr>
              <w:spacing w:after="40"/>
            </w:pPr>
            <w:r>
              <w:rPr>
                <w:b/>
              </w:rPr>
              <w:t xml:space="preserve">P5: Thermal Spirometry &amp; Lung Decline</w:t>
            </w:r>
          </w:p>
        </w:tc>
        <w:tc>
          <w:tcPr>
            <w:shd w:val="clear" w:color="auto" w:fill="FFFFFF"/>
          </w:tcPr>
          <w:p>
            <w:pPr>
              <w:spacing w:after="40"/>
            </w:pPr>
            <w:r>
              <w:t xml:space="preserve">4.0</w:t>
            </w:r>
          </w:p>
        </w:tc>
        <w:tc>
          <w:tcPr>
            <w:shd w:val="clear" w:color="auto" w:fill="FFFFFF"/>
          </w:tcPr>
          <w:p>
            <w:pPr>
              <w:spacing w:after="40"/>
            </w:pPr>
            <w:r>
              <w:t xml:space="preserve">4.4</w:t>
            </w:r>
          </w:p>
        </w:tc>
        <w:tc>
          <w:tcPr>
            <w:shd w:val="clear" w:color="auto" w:fill="FFFFFF"/>
          </w:tcPr>
          <w:p>
            <w:pPr>
              <w:spacing w:after="40"/>
            </w:pPr>
            <w:r>
              <w:t xml:space="preserve">3.9</w:t>
            </w:r>
          </w:p>
        </w:tc>
        <w:tc>
          <w:tcPr>
            <w:shd w:val="clear" w:color="auto" w:fill="FFFFFF"/>
          </w:tcPr>
          <w:p>
            <w:pPr>
              <w:spacing w:after="40"/>
            </w:pPr>
            <w:r>
              <w:t xml:space="preserve">4.2</w:t>
            </w:r>
          </w:p>
        </w:tc>
        <w:tc>
          <w:tcPr>
            <w:shd w:val="clear" w:color="auto" w:fill="FFFFFF"/>
          </w:tcPr>
          <w:p>
            <w:pPr>
              <w:spacing w:after="40"/>
            </w:pPr>
            <w:r>
              <w:t xml:space="preserve">3.5</w:t>
            </w:r>
          </w:p>
        </w:tc>
        <w:tc>
          <w:tcPr>
            <w:shd w:val="clear" w:color="auto" w:fill="FFFFFF"/>
          </w:tcPr>
          <w:p>
            <w:pPr>
              <w:spacing w:after="40"/>
            </w:pPr>
            <w:r>
              <w:t xml:space="preserve">3.9</w:t>
            </w:r>
          </w:p>
        </w:tc>
        <w:tc>
          <w:tcPr>
            <w:shd w:val="clear" w:color="auto" w:fill="FFFFFF"/>
          </w:tcPr>
          <w:p>
            <w:pPr>
              <w:spacing w:after="40"/>
            </w:pPr>
            <w:r>
              <w:t xml:space="preserve">4.2</w:t>
            </w:r>
          </w:p>
        </w:tc>
        <w:tc>
          <w:tcPr>
            <w:shd w:val="clear" w:color="auto" w:fill="FFFFFF"/>
          </w:tcPr>
          <w:p>
            <w:pPr>
              <w:spacing w:after="40"/>
            </w:pPr>
            <w:r>
              <w:t xml:space="preserve">4.1</w:t>
            </w:r>
          </w:p>
        </w:tc>
        <w:tc>
          <w:tcPr>
            <w:shd w:val="clear" w:color="auto" w:fill="FFFFFF"/>
          </w:tcPr>
          <w:p>
            <w:pPr>
              <w:spacing w:after="40"/>
            </w:pPr>
            <w:r>
              <w:rPr>
                <w:b/>
              </w:rPr>
              <w:t xml:space="preserve">4.04</w:t>
            </w:r>
          </w:p>
        </w:tc>
        <w:tc>
          <w:tcPr>
            <w:shd w:val="clear" w:color="auto" w:fill="FFFFFF"/>
          </w:tcPr>
          <w:p>
            <w:pPr>
              <w:spacing w:after="40"/>
            </w:pPr>
            <w:r>
              <w:rPr>
                <w:b/>
              </w:rPr>
              <w:t xml:space="preserve">#7</w:t>
            </w:r>
          </w:p>
        </w:tc>
      </w:tr>
      <w:tr>
        <w:tc>
          <w:tcPr>
            <w:shd w:val="clear" w:color="auto" w:fill="F8FAFC"/>
          </w:tcPr>
          <w:p>
            <w:pPr>
              <w:spacing w:after="40"/>
            </w:pPr>
            <w:r>
              <w:rPr>
                <w:b/>
              </w:rPr>
              <w:t xml:space="preserve">P8: Grassroots Ledger Latency</w:t>
            </w:r>
          </w:p>
        </w:tc>
        <w:tc>
          <w:tcPr>
            <w:shd w:val="clear" w:color="auto" w:fill="F8FAFC"/>
          </w:tcPr>
          <w:p>
            <w:pPr>
              <w:spacing w:after="40"/>
            </w:pPr>
            <w:r>
              <w:t xml:space="preserve">4.0</w:t>
            </w:r>
          </w:p>
        </w:tc>
        <w:tc>
          <w:tcPr>
            <w:shd w:val="clear" w:color="auto" w:fill="F8FAFC"/>
          </w:tcPr>
          <w:p>
            <w:pPr>
              <w:spacing w:after="40"/>
            </w:pPr>
            <w:r>
              <w:t xml:space="preserve">4.0</w:t>
            </w:r>
          </w:p>
        </w:tc>
        <w:tc>
          <w:tcPr>
            <w:shd w:val="clear" w:color="auto" w:fill="F8FAFC"/>
          </w:tcPr>
          <w:p>
            <w:pPr>
              <w:spacing w:after="40"/>
            </w:pPr>
            <w:r>
              <w:t xml:space="preserve">4.2</w:t>
            </w:r>
          </w:p>
        </w:tc>
        <w:tc>
          <w:tcPr>
            <w:shd w:val="clear" w:color="auto" w:fill="F8FAFC"/>
          </w:tcPr>
          <w:p>
            <w:pPr>
              <w:spacing w:after="40"/>
            </w:pPr>
            <w:r>
              <w:t xml:space="preserve">4.0</w:t>
            </w:r>
          </w:p>
        </w:tc>
        <w:tc>
          <w:tcPr>
            <w:shd w:val="clear" w:color="auto" w:fill="F8FAFC"/>
          </w:tcPr>
          <w:p>
            <w:pPr>
              <w:spacing w:after="40"/>
            </w:pPr>
            <w:r>
              <w:t xml:space="preserve">4.4</w:t>
            </w:r>
          </w:p>
        </w:tc>
        <w:tc>
          <w:tcPr>
            <w:shd w:val="clear" w:color="auto" w:fill="F8FAFC"/>
          </w:tcPr>
          <w:p>
            <w:pPr>
              <w:spacing w:after="40"/>
            </w:pPr>
            <w:r>
              <w:t xml:space="preserve">3.8</w:t>
            </w:r>
          </w:p>
        </w:tc>
        <w:tc>
          <w:tcPr>
            <w:shd w:val="clear" w:color="auto" w:fill="F8FAFC"/>
          </w:tcPr>
          <w:p>
            <w:pPr>
              <w:spacing w:after="40"/>
            </w:pPr>
            <w:r>
              <w:t xml:space="preserve">3.8</w:t>
            </w:r>
          </w:p>
        </w:tc>
        <w:tc>
          <w:tcPr>
            <w:shd w:val="clear" w:color="auto" w:fill="F8FAFC"/>
          </w:tcPr>
          <w:p>
            <w:pPr>
              <w:spacing w:after="40"/>
            </w:pPr>
            <w:r>
              <w:t xml:space="preserve">4.0</w:t>
            </w:r>
          </w:p>
        </w:tc>
        <w:tc>
          <w:tcPr>
            <w:shd w:val="clear" w:color="auto" w:fill="F8FAFC"/>
          </w:tcPr>
          <w:p>
            <w:pPr>
              <w:spacing w:after="40"/>
            </w:pPr>
            <w:r>
              <w:rPr>
                <w:b/>
              </w:rPr>
              <w:t xml:space="preserve">4.03</w:t>
            </w:r>
          </w:p>
        </w:tc>
        <w:tc>
          <w:tcPr>
            <w:shd w:val="clear" w:color="auto" w:fill="F8FAFC"/>
          </w:tcPr>
          <w:p>
            <w:pPr>
              <w:spacing w:after="40"/>
            </w:pPr>
            <w:r>
              <w:rPr>
                <w:b/>
              </w:rPr>
              <w:t xml:space="preserve">#8</w:t>
            </w:r>
          </w:p>
        </w:tc>
      </w:tr>
    </w:tbl>
    <w:p>
      <w:pPr>
        <w:spacing w:after="120"/>
      </w:pPr>
    </w:p>
    <w:p>
      <w:pPr>
        <w:pStyle w:val="Heading3"/>
      </w:pPr>
      <w:r>
        <w:t xml:space="preserve">7.3 Detailed Ranking Rationale</w:t>
      </w:r>
    </w:p>
    <w:p>
      <w:pPr>
        <w:ind w:left="400"/>
        <w:rPr/>
      </w:pPr>
      <w:r>
        <w:t xml:space="preserve">• </w:t>
      </w:r>
      <w:r>
        <w:rPr>
          <w:b/>
        </w:rPr>
        <w:t xml:space="preserve">P1 (Score 4.82 — Rank #1):</w:t>
      </w:r>
      <w:r>
        <w:t xml:space="preserve"> Achieved perfect 5.0 scores across Health Impact, Evidence, Unmet Need, and Upstream Prevention. Hemodialysis carries the single largest catastrophic financial burden in modern healthcare; SGLT2 inhibitors provide an uncontested Class 1A trial evidence base (NNT = 19).</w:t>
      </w:r>
    </w:p>
    <w:p>
      <w:pPr>
        <w:ind w:left="400"/>
        <w:rPr/>
      </w:pPr>
      <w:r>
        <w:t xml:space="preserve">• </w:t>
      </w:r>
      <w:r>
        <w:rPr>
          <w:b/>
        </w:rPr>
        <w:t xml:space="preserve">P2 (Score 4.77 — Rank #2):</w:t>
      </w:r>
      <w:r>
        <w:t xml:space="preserve"> Scored highest in Innovation (4.9) and Competition Fit (5.0). Debunking the "wearable fallacy" in 48°C desert heat resonates deeply with Abu Dhabi's OSHAD priorities.</w:t>
      </w:r>
    </w:p>
    <w:p>
      <w:pPr>
        <w:ind w:left="400"/>
        <w:rPr/>
      </w:pPr>
      <w:r>
        <w:t xml:space="preserve">• </w:t>
      </w:r>
      <w:r>
        <w:rPr>
          <w:b/>
        </w:rPr>
        <w:t xml:space="preserve">P4 (Score 4.47 — Rank #3):</w:t>
      </w:r>
      <w:r>
        <w:t xml:space="preserve"> Outstanding scientific elegance. Resolving the digital divide in elderly cognitive screening while filtering out reversible pseudo-dementia mimics addresses an urgent global geriatric bottleneck.</w:t>
      </w:r>
    </w:p>
    <w:p>
      <w:pPr>
        <w:pBdr>
          <w:bottom w:val="single" w:sz="8" w:space="8" w:color="CBD5E1"/>
        </w:pBdr>
      </w:pPr>
    </w:p>
    <w:p>
      <w:pPr>
        <w:pStyle w:val="Heading2"/>
      </w:pPr>
      <w:r>
        <w:t xml:space="preserve">8. Section 7: Selection of the Champion Problem &amp; Pure-Software Architecture (Step 6)</w:t>
      </w:r>
    </w:p>
    <w:p>
      <w:pPr>
        <w:pStyle w:val="Heading3"/>
      </w:pPr>
      <w:r>
        <w:t xml:space="preserve">8.1 The Hardware-Free &amp; API Ingestion Filter</w:t>
      </w:r>
    </w:p>
    <w:p>
      <w:pPr>
        <w:pStyle w:val="Normal"/>
      </w:pPr>
      <w:r>
        <w:t xml:space="preserve">To maximize operational scalability, prevent procurement bottlenecks, and ensure rapid deployment, we apply a strict </w:t>
      </w:r>
      <w:r>
        <w:rPr>
          <w:b/>
        </w:rPr>
        <w:t xml:space="preserve">Pure-Software &amp; API Ingestion Filter</w:t>
      </w:r>
      <w:r>
        <w:t xml:space="preserve">:</w:t>
      </w:r>
    </w:p>
    <w:p>
      <w:pPr>
        <w:ind w:left="400"/>
        <w:rPr/>
      </w:pPr>
      <w:r>
        <w:t xml:space="preserve">• </w:t>
      </w:r>
      <w:r>
        <w:rPr>
          <w:b/>
        </w:rPr>
        <w:t xml:space="preserve">Excluded:</w:t>
      </w:r>
      <w:r>
        <w:t xml:space="preserve"> Any solution requiring specialized hardware kiosks, dedicated optical test strip chambers, legacy dial meter cameras, or clinical diagnostic machines.</w:t>
      </w:r>
    </w:p>
    <w:p>
      <w:pPr>
        <w:ind w:left="400"/>
        <w:rPr/>
      </w:pPr>
      <w:r>
        <w:t xml:space="preserve">• </w:t>
      </w:r>
      <w:r>
        <w:rPr>
          <w:b/>
        </w:rPr>
        <w:t xml:space="preserve">Included:</w:t>
      </w:r>
      <w:r>
        <w:t xml:space="preserve"> Solutions operating on </w:t>
      </w:r>
      <w:r>
        <w:rPr>
          <w:b/>
        </w:rPr>
        <w:t xml:space="preserve">standard smartphone cameras, existing office scanners/PDF uploads, and public or health system APIs</w:t>
      </w:r>
      <w:r>
        <w:t xml:space="preserve"> (Weather/WBGT APIs, Municipal AQI, HL7 FHIR HIE APIs).</w:t>
      </w:r>
    </w:p>
    <w:p>
      <w:pPr>
        <w:pStyle w:val="Heading3"/>
      </w:pPr>
      <w:r>
        <w:t xml:space="preserve">8.2 The Top 3 Pure-Software Contenders</w:t>
      </w:r>
    </w:p>
    <w:p>
      <w:pPr>
        <w:pBdr>
          <w:left w:val="single" w:sz="16" w:color="94A3B8"/>
        </w:pBdr>
        <w:shd w:val="clear" w:color="auto" w:fill="F8FAFC"/>
        <w:ind w:left="200"/>
      </w:pPr>
      <w:r>
        <w:rPr>
          <w:b/>
          <w:sz w:val="18"/>
          <w:color w:val="64748B"/>
        </w:rPr>
        <w:t>Code / Diagram Architecture:</w:t>
      </w:r>
      <w:p>
        <w:r>
          <w:rPr>
            <w:rFonts w:ascii="Consolas" w:hAnsi="Consolas"/>
            <w:sz w:val="18"/>
            <w:color w:val="1E293B"/>
          </w:rPr>
          <w:t xml:space="preserve">
            ┌────────────────────────────────────────────────────────────────────────────────────────────────────────────────────────┐
            <w:br/>
            │                              TOP 3 PURE SOFTWARE &amp; API POPULATION HEALTH CONTENDERS                                    │
            <w:br/>
            ├──────┬────────────────────────────────────────┬───────────────────────────────────┬────────────────────────────────────┤
            <w:br/>
            │ Rank │ Solution Concept                       │ Software / Optical Ingestion      │ External APIs Consumed             │
            <w:br/>
            ├──────┼────────────────────────────────────────┼───────────────────────────────────┼────────────────────────────────────┤
            <w:br/>
            │  🥇  │ 1. Cardiorenal Interception Engine     │ Smartphone photo / PDF upload of  │ • HL7 FHIR (DiagnosticReport)      │
            <w:br/>
            │      │    (Snap-to-Care &amp; Paper-to-FHIR)      │ printed laboratory test reports   │ • Malaffi HIE / SatuSehat API      │
            <w:br/>
            │      │                                        │ (Prodia, SEHA, PureHealth, etc.)  │ • Twilio WhatsApp Business API     │
            <w:br/>
            ├──────┼────────────────────────────────────────┼───────────────────────────────────┼────────────────────────────────────┤
            <w:br/>
            │  🥈  │ 2. Brain Health Earlier &amp; Reversible   │ Smartphone photo of standard pen- │ • RxNorm / DrugBank API (ACB scale)│
            <w:br/>
            │      │    Mimics (COGNI-BRIDGE)               │ and-paper Clock Drawing / TMT and │ • LOINC / Lab FHIR APIs            │
            <w:br/>
            │      │                                        │ scanned endocrine/metabolic labs  │ • Emirati Genome Program (EGP) API │
            <w:br/>
            ├──────┼────────────────────────────────────────┼───────────────────────────────────┼────────────────────────────────────┤
            <w:br/>
            │  🥉  │ 3. Enterprise Syndromic Early Warning  │ Employee smartphone upload of     │ • Public Weather/WBGT API (NOAA)   │
            <w:br/>
            │      │    (SICK-PULSE)                        │ doctor sick certificates to HR web│ • Municipal AQI / PM2.5 Feeds      │
            <w:br/>
            │      │                                        │ portal or mobile app              │ • Enterprise HR / Workday API      │
            <w:br/>
            └──────┴────────────────────────────────────────┴───────────────────────────────────┴────────────────────────────────────┘
          </w:t>
        </w:r>
      </w:p>
    </w:p>
    <w:p>
      <w:pPr>
        <w:pStyle w:val="Heading3"/>
      </w:pPr>
      <w:r>
        <w:t xml:space="preserve">8.3 The #1 Champion: Cardiorenal Upstream Interception Engine</w:t>
      </w:r>
    </w:p>
    <w:p>
      <w:pPr>
        <w:pStyle w:val="Normal"/>
      </w:pPr>
      <w:r>
        <w:t xml:space="preserve">The selected flagship proposal for the competition is the </w:t>
      </w:r>
      <w:r>
        <w:rPr>
          <w:b/>
        </w:rPr>
        <w:t xml:space="preserve">Cardiorenal Upstream Interception Engine</w:t>
      </w:r>
      <w:r>
        <w:t xml:space="preserve"> under Track 02: </w:t>
      </w:r>
      <w:r>
        <w:rPr>
          <w:i/>
        </w:rPr>
        <w:t xml:space="preserve">Closing the Screening-to-Care Loop</w:t>
      </w:r>
      <w:r>
        <w:t xml:space="preserve">.</w:t>
      </w:r>
    </w:p>
    <w:p>
      <w:pPr>
        <w:ind w:left="400"/>
        <w:rPr/>
      </w:pPr>
      <w:r>
        <w:t xml:space="preserve">• </w:t>
      </w:r>
      <w:r>
        <w:rPr>
          <w:b/>
        </w:rPr>
        <w:t xml:space="preserve">The Core Thesis:</w:t>
      </w:r>
      <w:r>
        <w:t xml:space="preserve"> Ingesting printed paper lab slips and PDF checkup summaries via mobile Vision-AI </w:t>
      </w:r>
      <w:r>
        <w:rPr>
          <w:i/>
        </w:rPr>
        <w:t xml:space="preserve">\rightarrow</w:t>
      </w:r>
      <w:r>
        <w:t xml:space="preserve"> Normalizing to HL7 FHIR </w:t>
      </w:r>
      <w:r>
        <w:rPr>
          <w:i/>
        </w:rPr>
        <w:t xml:space="preserve">\rightarrow</w:t>
      </w:r>
      <w:r>
        <w:t xml:space="preserve"> Querying historical HIE values </w:t>
      </w:r>
      <w:r>
        <w:rPr>
          <w:i/>
        </w:rPr>
        <w:t xml:space="preserve">\rightarrow</w:t>
      </w:r>
      <w:r>
        <w:t xml:space="preserve"> Calculating longitudinal eGFR slope &amp; Tangri KFRE </w:t>
      </w:r>
      <w:r>
        <w:rPr>
          <w:i/>
        </w:rPr>
        <w:t xml:space="preserve">\rightarrow</w:t>
      </w:r>
      <w:r>
        <w:t xml:space="preserve"> Actuating a 1-click Doctor Copilot with Hemodynamic Dip Reassurance </w:t>
      </w:r>
      <w:r>
        <w:rPr>
          <w:i/>
        </w:rPr>
        <w:t xml:space="preserve">\rightarrow</w:t>
      </w:r>
      <w:r>
        <w:t xml:space="preserve"> Engaging the patient via WhatsApp using the "Kitchen Water Filter" metaphor </w:t>
      </w:r>
      <w:r>
        <w:rPr>
          <w:i/>
        </w:rPr>
        <w:t xml:space="preserve">\rightarrow</w:t>
      </w:r>
      <w:r>
        <w:t xml:space="preserve"> Auditing case closure through community health worker escalation.</w:t>
      </w:r>
    </w:p>
    <w:p>
      <w:pPr>
        <w:pBdr>
          <w:bottom w:val="single" w:sz="8" w:space="8" w:color="CBD5E1"/>
        </w:pBdr>
      </w:pPr>
    </w:p>
    <w:p>
      <w:pPr>
        <w:pStyle w:val="Heading3"/>
      </w:pPr>
      <w:r>
        <w:t xml:space="preserve">8.4 Complete End-to-End System Diagrams (Mermaid)</w:t>
      </w:r>
    </w:p>
    <w:p>
      <w:pPr>
        <w:pStyle w:val="Heading3"/>
      </w:pPr>
      <w:r>
        <w:t xml:space="preserve">Diagram 1: Macro End-to-End System Architecture</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classDef startNode fill:#e0f2fe,stroke:#0284c7,stroke-width:2px;
            <w:br/>
                classDef engineNode fill:#f0fdf4,stroke:#16a34a,stroke-width:2px;
            <w:br/>
                classDef decisionNode fill:#fef3c7,stroke:#d97706,stroke-width:2px;
            <w:br/>
                classDef actionNode fill:#f1f5f9,stroke:#475569,stroke-width:2px;
            <w:br/>
                classDef endNode fill:#f8fafc,stroke:#64748b,stroke-width:2px;
            <w:br/>
            <w:br/>
                StartPaper([Physical Paper Lab Slip / PDF Ingested]):::startNode --&gt; VisionIngest[["Multi-Modal Vision-AI &amp; Layout OCR Engine"]]:::engineNode
            <w:br/>
                StartDigital([Direct Electronic LIS / EHR Feed]):::startNode --&gt; FHIRNorm[["HL7 FHIR R4 Normalization Pipeline"]]:::engineNode
            <w:br/>
            <w:br/>
                VisionIngest --&gt; ConfCheck{"OCR Confidence &gt;= 90%?"}:::decisionNode
            <w:br/>
                ConfCheck -- "Yes" --&gt; FHIRNorm
            <w:br/>
                ConfCheck -- "No (&lt;90% or Glare)" --&gt; HITLReview["Human-in-the-Loop Nurse Verification Queue&lt;br/&gt;(Visual Bounding-Box Overlay in &lt;5s)"]:::actionNode
            <w:br/>
                HITLReview --&gt; FHIRNorm
            <w:br/>
            <w:br/>
                FHIRNorm --&gt; HistSync[["Query Historical HIE API (Malaffi / SatuSehat)"]]:::engineNode
            <w:br/>
                HistSync --&gt; TrajEngine[["Algorithmic Trajectory Engine:&lt;br/&gt;CKD-EPI 2021, OLS eGFR Slope, KFRE 4-Variable"]]:::engineNode
            <w:br/>
            <w:br/>
                TrajEngine --&gt; CheckRisk{"Actionable Risk Criteria Met?&lt;br/&gt;(eGFR Slope &lt; -3 mL/min/yr OR KFRE 5-yr &gt; 5%)"}:::decisionNode
            <w:br/>
            <w:br/>
                CheckRisk -- "No (Low Risk / Stable)" --&gt; RoutineMon["Schedule Routine Annual Rescreening Registry"]:::actionNode
            <w:br/>
                RoutineMon --&gt; EndStable([Follow-up Maintained]):::endNode
            <w:br/>
            <w:br/>
                CheckRisk -- "Yes (Rapid Progressor / High Risk)" --&gt; ParallelSplit{Parallel Closed-Loop Activation}:::decisionNode
            <w:br/>
            <w:br/>
                ParallelSplit --&gt; ClinicianTrigger["Push Priority Alert to Doctor Copilot"]:::actionNode
            <w:br/>
                ParallelSplit --&gt; PatientTrigger["Trigger Empathetic WhatsApp Agent Dialogue"]:::actionNode
            <w:br/>
            <w:br/>
                subgraph DoctorLane ["Clinician Subsystem (Clinical Copilot)"]
            <w:br/>
                    ClinicianTrigger --&gt; DocReview["Physician Reviews Trajectory &amp; Source Document Overlay"]
            <w:br/>
                    DocReview --&gt; OrderSet("1-Click GDMT Order Set: SGLT2i + ARB + 4-Wk Safety Labs")
            <w:br/>
                end
            <w:br/>
            <w:br/>
                subgraph PatientLane ["Patient Subsystem (WhatsApp Agent)"]
            <w:br/>
                    PatientTrigger --&gt; WAMsg["Receive Kitchen Water-Filter Analogy"]
            <w:br/>
                    WAMsg --&gt; PatientDecision{"Patient Response Branch"}:::decisionNode
            <w:br/>
                    PatientDecision -- "Accepts Visit" --&gt; DirectBook("Automated Clinic Appointment Booking")
            <w:br/>
                    PatientDecision -- "Doubts / Medication Fear" --&gt; MicroEducation["Interactive Safety &amp; Organ-Shield Chat"]
            <w:br/>
                    MicroEducation --&gt; DirectBook
            <w:br/>
                end
            <w:br/>
            <w:br/>
                OrderSet --&gt; ClinicConsult["In-Person Primary Care Consultation &amp; Prescription"]:::actionNode
            <w:br/>
                DirectBook --&gt; ClinicConsult
            <w:br/>
            <w:br/>
                ClinicConsult --&gt; AdherenceCheck{"Medication Refill &amp; Follow-up Compliance (&gt;30 Days)?"}:::decisionNode
            <w:br/>
                AdherenceCheck -- "Compliant" --&gt; KidneyProtection["eGFR Slope Stabilized / Dialysis Averted"]:::actionNode
            <w:br/>
                KidneyProtection --&gt; EndSuccess([Upstream Protection Achieved]):::endNode
            <w:br/>
            <w:br/>
                AdherenceCheck -- "Lapsed / Missed Appointment" --&gt; CHWDispatch[["Automated Task Dispatch to Community Health Worker (Kader)"]]:::engineNode
            <w:br/>
                CHWDispatch --&gt; HomeVisit("CHW Conducts Home Visit &amp; Adherence Counseling"):::actionNode
            <w:br/>
                HomeVisit --&gt; ClinicConsult
          </w:t>
        </w:r>
      </w:p>
    </w:p>
    <w:p>
      <w:pPr>
        <w:pBdr>
          <w:bottom w:val="single" w:sz="8" w:space="8" w:color="CBD5E1"/>
        </w:pBdr>
      </w:pPr>
    </w:p>
    <w:p>
      <w:pPr>
        <w:pStyle w:val="Heading3"/>
      </w:pPr>
      <w:r>
        <w:t xml:space="preserve">Diagram 2: Snap-to-Care Optical Ingestion Gateway</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classDef startNode fill:#e0f2fe,stroke:#0284c7,stroke-width:2px;
            <w:br/>
                classDef engineNode fill:#f0fdf4,stroke:#16a34a,stroke-width:2px;
            <w:br/>
                classDef decisionNode fill:#fef3c7,stroke:#d97706,stroke-width:2px;
            <w:br/>
                classDef actionNode fill:#f1f5f9,stroke:#475569,stroke-width:2px;
            <w:br/>
                classDef endNode fill:#f8fafc,stroke:#64748b,stroke-width:2px;
            <w:br/>
            <w:br/>
                CaptureStart([User Initiates Document Capture]):::startNode --&gt; InputChannel{"Capture Channel"}:::decisionNode
            <w:br/>
            <w:br/>
                InputChannel -- "Patient at Home" --&gt; WACam["WhatsApp Mobile Snapshot / Photo Upload"]:::actionNode
            <w:br/>
                InputChannel -- "Nurse at Clinic" --&gt; ClinicScan["Clinic Web UI Scanner / Tablet Camera"]:::actionNode
            <w:br/>
                InputChannel -- "EHR Admin" --&gt; BatchPDF["Batch Scanned PDF Ingestion"]:::actionNode
            <w:br/>
            <w:br/>
                WACam --&gt; PreProcess[["OpenCV Preprocessing Engine&lt;br/&gt;(Perspective Dewarping, Shadow Removal, Contrast)"]]:::engineNode
            <w:br/>
                ClinicScan --&gt; PreProcess
            <w:br/>
                BatchPDF --&gt; PreProcess
            <w:br/>
            <w:br/>
                PreProcess --&gt; QualityCheck{"Image Quality Check Pass?&lt;br/&gt;(Resolution &gt;= 300 DPI, Sharpness &gt; 100)"}:::decisionNode
            <w:br/>
            <w:br/>
                QualityCheck -- "No (Blurry / Dark)" --&gt; ReCapturePrompt["Real-Time Prompt: 'Please hold steady in good light'"]:::actionNode
            <w:br/>
                ReCapturePrompt --&gt; InputChannel
            <w:br/>
            <w:br/>
                QualityCheck -- "Yes" --&gt; LayoutAI[["Multimodal Layout-Aware Vision OCR&lt;br/&gt;(Zero-Template Table &amp; Key-Value Extraction)"]]:::engineNode
            <w:br/>
            <w:br/>
                LayoutAI --&gt; ClinicalNER[["Clinical Entity Normalization Pipeline&lt;br/&gt;(LOINC: Creatinine 2160-0, eGFR 33914-3, Protein 2888-6)"]]:::engineNode
            <w:br/>
            <w:br/>
                ClinicalNER --&gt; ConfidenceGate{"Extraction Confidence &gt;= 90% across All Key Analytes?"}:::decisionNode
            <w:br/>
            <w:br/>
                ConfidenceGate -- "No (&lt; 90% Confidence)" --&gt; HITLQueue["Divert to Human-in-the-Loop Triage Queue&lt;br/&gt;(Nurse Tablet Alert with Bounding-Box Overlay)"]:::actionNode
            <w:br/>
                HITLQueue --&gt; NurseAction{"Nurse Verification Action"}:::decisionNode
            <w:br/>
                NurseAction -- "Adjust / Confirm Value" --&gt; ManualEdit["Nurse Corrects Value in &lt;5 Seconds"]:::actionNode
            <w:br/>
                ManualEdit --&gt; BuildFHIR[["Construct HL7 FHIR DiagnosticReport Bundle"]]:::engineNode
            <w:br/>
                NurseAction -- "Reject Unreadable" --&gt; DiscardAlert["Trigger Rescan Request to Patient"]:::actionNode
            <w:br/>
                DiscardAlert --&gt; ReCapturePrompt
            <w:br/>
            <w:br/>
                ConfidenceGate -- "Yes (High Confidence)" --&gt; BuildFHIR
            <w:br/>
            <w:br/>
                BuildFHIR --&gt; HIEQuery[["Query Historical Labs via HIE API&lt;br/&gt;(Abu Dhabi Malaffi HIE / Indonesia SatuSehat)"]]:::engineNode
            <w:br/>
            <w:br/>
                HIEQuery --&gt; TrajectoryReady([Longitudinal Dataset Assembled: Trigger Trajectory Engine]):::endNode
          </w:t>
        </w:r>
      </w:p>
    </w:p>
    <w:p>
      <w:pPr>
        <w:pBdr>
          <w:bottom w:val="single" w:sz="8" w:space="8" w:color="CBD5E1"/>
        </w:pBdr>
      </w:pPr>
    </w:p>
    <w:p>
      <w:pPr>
        <w:pStyle w:val="Heading3"/>
      </w:pPr>
      <w:r>
        <w:t xml:space="preserve">Diagram 3: Doctor Clinical Copilot (1-Click GDMT Workflow)</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DocStart([Physician Opens Patient Record in EHR / Copilot]) --&gt; ScreenSummary[Patient Overview Screen]
            <w:br/>
            <w:br/>
                ScreenSummary --&gt; SysCalc[["System Process: Compute Longitudinal eGFR Slope &amp; 4-Var KFRE"]]
            <w:br/>
                SysCalc --&gt; ScreenRisk["Risk Trajectory Visualizer (5-Year Dialysis Horizon)"]
            <w:br/>
            <w:br/>
                ScreenRisk --&gt; EvalRisk{"Patient Classified as Rapid Progressor or High Risk?"}
            <w:br/>
            <w:br/>
                EvalRisk -- "No" --&gt; StdProtocol("Maintain Standard Care &amp; Annual Monitoring")
            <w:br/>
                StdProtocol --&gt; DocFinish1([Record Saved &amp; Consultation Concluded])
            <w:br/>
            <w:br/>
                EvalRisk -- "Yes" --&gt; CDSAlert[Display 1-Click GDMT Recommendation Card]
            <w:br/>
                CDSAlert --&gt; DocAction{"Physician Reviews Proposed Order Set"}
            <w:br/>
            <w:br/>
                DocAction -- "Expresses Hesitation: Hemodynamic Dip" --&gt; TooltipInfo[Clinical Reassurance Pop-up: Dip &lt;=30% is Benign &amp; Reflects Glomerular Decompression]
            <w:br/>
                TooltipInfo --&gt; ApproveOrder("Click: 'Authorize GDMT Order Set'")
            <w:br/>
            <w:br/>
                DocAction -- "Approves Immediately" --&gt; ApproveOrder
            <w:br/>
            <w:br/>
                ApproveOrder --&gt; SysDispatch[["System Process: Generate Electronic Prescription &amp; Schedule 4-Week Safety Labs"]]
            <w:br/>
                SysDispatch --&gt; ScreenOrderConfirm[Order Confirmation &amp; Patient Instructions Generated]
            <w:br/>
                ScreenOrderConfirm --&gt; DocFinish2([Consultation Concluded with Active GDMT])
          </w:t>
        </w:r>
      </w:p>
    </w:p>
    <w:p>
      <w:pPr>
        <w:pBdr>
          <w:bottom w:val="single" w:sz="8" w:space="8" w:color="CBD5E1"/>
        </w:pBdr>
      </w:pPr>
    </w:p>
    <w:p>
      <w:pPr>
        <w:pStyle w:val="Heading3"/>
      </w:pPr>
      <w:r>
        <w:t xml:space="preserve">Diagram 4: Patient WhatsApp Behavioral Concierge Workflow</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EngineTrigger([Engine Identifies High-Risk Patient]) --&gt; SysSendWA[["Deliver Personalized WhatsApp Engagement Message"]]
            <w:br/>
            <w:br/>
                SysSendWA --&gt; WAMsg1["WhatsApp Message: Lab Review &amp; The 'Kitchen Filter' Metaphor"]
            <w:br/>
                WAMsg1 --&gt; PatientInteract("Patient Reads Message &amp; Interacts")
            <w:br/>
            <w:br/>
                PatientInteract --&gt; ResponseOptions{"Patient Selects Response Quick-Reply"}
            <w:br/>
            <w:br/>
                ResponseOptions -- "'I feel fine, why do I need a checkup?'" --&gt; BotReframing["Agent Explanation: Kidneys Have No Pain Nerves in Early Damage"]
            <w:br/>
                BotReframing --&gt; PromptBooking("Agent Prompts Clinic Appointment")
            <w:br/>
            <w:br/>
                ResponseOptions -- "'Are these medications harmful chemicals?'" --&gt; BotSafety["Agent Explanation: Organ-Shield Metaphor for SGLT2i/ARBs"]
            <w:br/>
                BotSafety --&gt; PromptBooking
            <w:br/>
            <w:br/>
                ResponseOptions -- "'Yes, I want to see the doctor'" --&gt; PromptBooking
            <w:br/>
            <w:br/>
                PromptBooking --&gt; SlotSelection("Patient Selects Date &amp; Preferred Time Slot")
            <w:br/>
                SlotSelection --&gt; SysConfirm[["Sync Appointment with Clinic Scheduling API"]]
            <w:br/>
                SysConfirm --&gt; WABookingSuccess[Booking Confirmation &amp; Calendar Reminder Sent]
            <w:br/>
            <w:br/>
                WABookingSuccess --&gt; AttendanceCheck{"Patient Attends Scheduled Clinic Visit?"}
            <w:br/>
                AttendanceCheck -- "Attended" --&gt; PatientDone([Patient Successfully Intercepted])
            <w:br/>
            <w:br/>
                AttendanceCheck -- "Missed Appointment" --&gt; WAReminder["Automated Reminder + Rebooking Offer (Day 3 &amp; Day 7)"]
            <w:br/>
                WAReminder --&gt; RebookCheck{"Patient Rebooks within 14 Days?"}
            <w:br/>
                RebookCheck -- "Yes" --&gt; SlotSelection
            <w:br/>
                RebookCheck -- "No" --&gt; EscalationTrigger([Escalate to Community Health Worker]):::engineNode
          </w:t>
        </w:r>
      </w:p>
    </w:p>
    <w:p>
      <w:pPr>
        <w:pBdr>
          <w:bottom w:val="single" w:sz="8" w:space="8" w:color="CBD5E1"/>
        </w:pBdr>
      </w:pPr>
    </w:p>
    <w:p>
      <w:pPr>
        <w:pStyle w:val="Heading3"/>
      </w:pPr>
      <w:r>
        <w:t xml:space="preserve">Diagram 5: Community Escalation &amp; Documented Closure Workflow</w:t>
      </w:r>
    </w:p>
    <w:p>
      <w:pPr>
        <w:pBdr>
          <w:left w:val="single" w:sz="16" w:color="94A3B8"/>
        </w:pBdr>
        <w:shd w:val="clear" w:color="auto" w:fill="F8FAFC"/>
        <w:ind w:left="200"/>
      </w:pPr>
      <w:r>
        <w:rPr>
          <w:b/>
          <w:sz w:val="18"/>
          <w:color w:val="64748B"/>
        </w:rPr>
        <w:t>Mermaid Architecture Diagram:</w:t>
      </w:r>
      <w:p>
        <w:r>
          <w:rPr>
            <w:rFonts w:ascii="Consolas" w:hAnsi="Consolas"/>
            <w:sz w:val="18"/>
            <w:color w:val="1E293B"/>
          </w:rPr>
          <w:t xml:space="preserve">
            flowchart TD
            <w:br/>
                TriggerEscalation([Patient Unresponsive &gt; 14 Days OR Rx Refill Lapsed &gt; 30 Days]) --&gt; SysCreateTicket[["Generate Geocoded Community Task Ticket"]]
            <w:br/>
            <w:br/>
                SysCreateTicket --&gt; KaderApp["Kader Mobile Dashboard / WhatsApp Alert"]
            <w:br/>
                KaderApp --&gt; KaderAccept("Kader Accepts Task &amp; Reviews Patient Profile")
            <w:br/>
            <w:br/>
                KaderAccept --&gt; HomeVisit["Kader Conducts Home Visit with Patient"]
            <w:br/>
                HomeVisit --&gt; VisitOutcome{"Home Visit Outcome"}
            <w:br/>
            <w:br/>
                VisitOutcome -- "Barriers Resolved: Transportation / Scheduling" --&gt; AssistedBooking("Kader Books Accompanied Clinic Visit")
            <w:br/>
                AssistedBooking --&gt; SyncVisit[["Update System Status: Clinic Visit Scheduled"]]
            <w:br/>
                SyncVisit --&gt; ClosedEscalation([Patient Re-engaged]):::endNode
            <w:br/>
            <w:br/>
                VisitOutcome -- "Patient Refuses Care / Moved Away" --&gt; LogRefusal("Kader Logs Reason in Mobile Form")
            <w:br/>
                LogRefusal --&gt; UpdateEHR[["Flag EHR: Outreach Completed / Chronic Care Non-responder"]]
            <w:br/>
                UpdateEHR --&gt; ClosedFlag([Case Closed with Clinical Note]):::endNode
          </w:t>
        </w:r>
      </w:p>
    </w:p>
    <w:p>
      <w:pPr>
        <w:pBdr>
          <w:bottom w:val="single" w:sz="8" w:space="8" w:color="CBD5E1"/>
        </w:pBdr>
      </w:pPr>
    </w:p>
    <w:p>
      <w:pPr>
        <w:pStyle w:val="Heading2"/>
      </w:pPr>
      <w:r>
        <w:t xml:space="preserve">9. Section 8: Clinical Governance, Safety Safeguards &amp; Judge Q&amp;A Defense</w:t>
      </w:r>
    </w:p>
    <w:p>
      <w:pPr>
        <w:pStyle w:val="Heading3"/>
      </w:pPr>
      <w:r>
        <w:t xml:space="preserve">9.1 The Hemodynamic Dip Clinical Reassurance Protocol</w:t>
      </w:r>
    </w:p>
    <w:p>
      <w:pPr>
        <w:ind w:left="400"/>
        <w:rPr/>
      </w:pPr>
      <w:r>
        <w:t xml:space="preserve">• </w:t>
      </w:r>
      <w:r>
        <w:rPr>
          <w:b/>
        </w:rPr>
        <w:t xml:space="preserve">The Clinical Dilemma:</w:t>
      </w:r>
      <w:r>
        <w:t xml:space="preserve"> Upon starting SGLT2 inhibitors (Dapagliflozin/Empagliflozin) or ACEi/ARBs, intraglomerular hyperfiltration is reduced, causing a transient serum creatinine rise (eGFR drops 10%–25% within 2–4 weeks). Uninformed primary care doctors mistake this for acute tubular toxicity and prematurely discontinue therapy.</w:t>
      </w:r>
    </w:p>
    <w:p>
      <w:pPr>
        <w:ind w:left="400"/>
        <w:rPr/>
      </w:pPr>
      <w:r>
        <w:t xml:space="preserve">• </w:t>
      </w:r>
      <w:r>
        <w:rPr>
          <w:b/>
        </w:rPr>
        <w:t xml:space="preserve">The Protocol:</w:t>
      </w:r>
      <w:r>
        <w:t xml:space="preserve"> Citing </w:t>
      </w:r>
      <w:r>
        <w:rPr>
          <w:b/>
        </w:rPr>
        <w:t xml:space="preserve">KDIGO 2024 Guidelines</w:t>
      </w:r>
      <w:r>
        <w:t xml:space="preserve">, the Doctor Copilot displays an explicit reassurance badge:</w:t>
      </w:r>
    </w:p>
    <w:p>
      <w:pPr>
        <w:pStyle w:val="Normal"/>
      </w:pPr>
      <w:r>
        <w:rPr>
          <w:i/>
        </w:rPr>
        <w:t xml:space="preserve"/>
      </w:r>
      <w:r>
        <w:t xml:space="preserve">\text{Creatinine Dip } ≤ 30\% \implies \text{Confirmed Hemodynamic Decompression (Continue GDMT)}</w:t>
      </w:r>
      <w:r>
        <w:rPr>
          <w:i/>
        </w:rPr>
        <w:t xml:space="preserve"/>
      </w:r>
      <w:r>
        <w:t xml:space="preserve"> </w:t>
      </w:r>
      <w:r>
        <w:rPr>
          <w:i/>
        </w:rPr>
        <w:t xml:space="preserve"/>
      </w:r>
      <w:r>
        <w:t xml:space="preserve">\text{Creatinine Dip } &gt; 30\% \implies \text{Trigger Volume Depletion &amp; NSAID Review (Reflex Lab)}</w:t>
      </w:r>
      <w:r>
        <w:rPr>
          <w:i/>
        </w:rPr>
        <w:t xml:space="preserve"/>
      </w:r>
    </w:p>
    <w:p>
      <w:pPr>
        <w:ind w:left="400"/>
        <w:rPr/>
      </w:pPr>
      <w:r>
        <w:t xml:space="preserve">• </w:t>
      </w:r>
      <w:r>
        <w:rPr>
          <w:b/>
        </w:rPr>
        <w:t xml:space="preserve">Automated Safety Order:</w:t>
      </w:r>
      <w:r>
        <w:t xml:space="preserve"> Every GDMT authorization automatically schedules a reflex 4-week follow-up serum creatinine and potassium test, closing the clinical safety loop.</w:t>
      </w:r>
    </w:p>
    <w:p>
      <w:pPr>
        <w:pStyle w:val="Heading3"/>
      </w:pPr>
      <w:r>
        <w:t xml:space="preserve">9.2 Visual Bounding-Box Explainability</w:t>
      </w:r>
    </w:p>
    <w:p>
      <w:pPr>
        <w:pStyle w:val="Normal"/>
      </w:pPr>
      <w:r>
        <w:t xml:space="preserve">To guarantee clinician trust and avoid "hallucinated AI" risks, every parsed biomarker displayed in the Doctor Copilot features an interactive </w:t>
      </w:r>
      <w:r>
        <w:rPr>
          <w:b/>
        </w:rPr>
        <w:t xml:space="preserve">Source Visual Citation</w:t>
      </w:r>
      <w:r>
        <w:t xml:space="preserve">:</w:t>
      </w:r>
    </w:p>
    <w:p>
      <w:pPr>
        <w:ind w:left="400"/>
        <w:rPr/>
      </w:pPr>
      <w:r>
        <w:t xml:space="preserve">• </w:t>
      </w:r>
      <w:r>
        <w:t xml:space="preserve">Clicking on any extracted analyte (e.g., </w:t>
      </w:r>
      <w:r>
        <w:rPr>
          <w:rFonts w:ascii="Consolas" w:hAnsi="Consolas"/>
          <w:color w:val="B91C1C"/>
        </w:rPr>
        <w:t xml:space="preserve">Creatinine: 1.4 mg/dL</w:t>
      </w:r>
      <w:r>
        <w:t xml:space="preserve">) instantly opens a high-resolution lightbox displaying the original scanned paper document with an interactive green bounding box centered over the laboratory's printed text and unit.</w:t>
      </w:r>
    </w:p>
    <w:p>
      <w:pPr>
        <w:pStyle w:val="Heading3"/>
      </w:pPr>
      <w:r>
        <w:t xml:space="preserve">9.3 Strategic Judge Q&amp;A Defense</w:t>
      </w:r>
    </w:p>
    <w:p>
      <w:pPr>
        <w:pStyle w:val="Heading3"/>
      </w:pPr>
      <w:r>
        <w:t xml:space="preserve">Q1: "Why focus on scanning paper lab slips when healthcare systems like Abu Dhabi are already heavily digitized with Malaffi HIE?"</w:t>
      </w:r>
    </w:p>
    <w:p>
      <w:pPr>
        <w:ind w:left="400"/>
        <w:rPr/>
      </w:pPr>
      <w:r>
        <w:t xml:space="preserve">• </w:t>
      </w:r>
      <w:r>
        <w:rPr>
          <w:b/>
        </w:rPr>
        <w:t xml:space="preserve">Answer:</w:t>
      </w:r>
      <w:r>
        <w:t xml:space="preserve"> </w:t>
      </w:r>
      <w:r>
        <w:rPr>
          <w:i/>
        </w:rPr>
        <w:t xml:space="preserve">"Malaffi is one of the world's most advanced Health Information Exchanges, but healthcare reality is multi-tiered. Over 85% of Abu Dhabi residents are expatriates who frequently obtain health checkups at non-network private laboratories, visa medical screening centers, or abroad in their home countries. Those results are brought into clinic visits as physical paper slips or flat, unsearchable raster PDFs that sit inert in hospital document stores without triggering analytics. Furthermore, in our secondary use case of Indonesia, over 90% of rural Puskesmas labs rely on printed slips. Our solution acts as the </w:t>
      </w:r>
      <w:r>
        <w:rPr>
          <w:i/>
        </w:rPr>
        <w:t xml:space="preserve">analog-to-digital bridge</w:t>
      </w:r>
      <w:r>
        <w:rPr>
          <w:i/>
        </w:rPr>
        <w:t xml:space="preserve">, taking these disconnected physical printouts and feeding them directly into Malaffi's FHIR standard at zero hardware cost."</w:t>
      </w:r>
    </w:p>
    <w:p>
      <w:pPr>
        <w:pStyle w:val="Heading3"/>
      </w:pPr>
      <w:r>
        <w:t xml:space="preserve">Q2: "Primary care clinicians already suffer from alert fatigue. Why won't your Copilot just be ignored?"</w:t>
      </w:r>
    </w:p>
    <w:p>
      <w:pPr>
        <w:ind w:left="400"/>
        <w:rPr/>
      </w:pPr>
      <w:r>
        <w:t xml:space="preserve">• </w:t>
      </w:r>
      <w:r>
        <w:rPr>
          <w:b/>
        </w:rPr>
        <w:t xml:space="preserve">Answer:</w:t>
      </w:r>
      <w:r>
        <w:t xml:space="preserve"> </w:t>
      </w:r>
      <w:r>
        <w:rPr>
          <w:i/>
        </w:rPr>
        <w:t xml:space="preserve">"We do not build interruptive pop-up alerts. Standard Clinical Decision Support fails because it fires a red warning saying 'Patient has low eGFR' without providing an executable solution. Our Doctor Copilot provides a </w:t>
      </w:r>
      <w:r>
        <w:rPr>
          <w:i/>
        </w:rPr>
        <w:t xml:space="preserve">pre-calculated, protocolized, 1-click execution set</w:t>
      </w:r>
      <w:r>
        <w:rPr>
          <w:i/>
        </w:rPr>
        <w:t xml:space="preserve">. More importantly, it tackles the #1 reason primary care doctors hesitate to prescribe SGLT2 inhibitors: fear of the transient 10–25% creatinine dip upon drug initiation. By displaying our </w:t>
      </w:r>
      <w:r>
        <w:rPr>
          <w:i/>
        </w:rPr>
        <w:t xml:space="preserve">'Hemodynamic Dip Reassurance Badge'</w:t>
      </w:r>
      <w:r>
        <w:rPr>
          <w:i/>
        </w:rPr>
        <w:t xml:space="preserve"> cited from KDIGO 2024 guidelines and automatically scheduling the 4-week follow-up safety lab, we transform a 15-minute clinical hesitation into a 10-second authorized prescription."</w:t>
      </w:r>
    </w:p>
    <w:p>
      <w:pPr>
        <w:pStyle w:val="Heading3"/>
      </w:pPr>
      <w:r>
        <w:t xml:space="preserve">Q3: "How do you prevent asymptomatic patients from panicking or ignoring your WhatsApp message?"</w:t>
      </w:r>
    </w:p>
    <w:p>
      <w:pPr>
        <w:ind w:left="400"/>
        <w:rPr/>
      </w:pPr>
      <w:r>
        <w:t xml:space="preserve">• </w:t>
      </w:r>
      <w:r>
        <w:rPr>
          <w:b/>
        </w:rPr>
        <w:t xml:space="preserve">Answer:</w:t>
      </w:r>
      <w:r>
        <w:t xml:space="preserve"> </w:t>
      </w:r>
      <w:r>
        <w:rPr>
          <w:i/>
        </w:rPr>
        <w:t xml:space="preserve">"Most health apps fail because they use alarming clinical jargon like 'Chronic Kidney Failure Stage 3b' or require downloading a new app that suffers 90% 30-day churn. We deliver our intervention entirely through </w:t>
      </w:r>
      <w:r>
        <w:rPr>
          <w:i/>
        </w:rPr>
        <w:t xml:space="preserve">native WhatsApp</w:t>
      </w:r>
      <w:r>
        <w:rPr>
          <w:i/>
        </w:rPr>
        <w:t xml:space="preserve">, requiring zero app installation. We completely eliminate terrifying terminology, substituting it with the culturally tuned </w:t>
      </w:r>
      <w:r>
        <w:rPr>
          <w:i/>
        </w:rPr>
        <w:t xml:space="preserve">'Kitchen Water Filter' (</w:t>
      </w:r>
      <w:r>
        <w:t xml:space="preserve">Saringan Dapur</w:t>
      </w:r>
      <w:r>
        <w:rPr>
          <w:i/>
        </w:rPr>
        <w:t xml:space="preserve">)</w:t>
      </w:r>
      <w:r>
        <w:rPr>
          <w:i/>
        </w:rPr>
        <w:t xml:space="preserve"> analogy: explaining that their kidney filter is working under high pressure without pain, and this medication acts as an invisible shield to preserve the filter for ten extra years. We pair this mental model with direct, friction-free appointment booking, turning passive denial into immediate clinic attendance."</w:t>
      </w:r>
    </w:p>
    <w:p>
      <w:pPr>
        <w:pStyle w:val="Heading3"/>
      </w:pPr>
      <w:r>
        <w:t xml:space="preserve">Q4: "What makes your mathematical engine clinically valid rather than an unverified black-box AI?"</w:t>
      </w:r>
    </w:p>
    <w:p>
      <w:pPr>
        <w:ind w:left="400"/>
        <w:rPr/>
      </w:pPr>
      <w:r>
        <w:t xml:space="preserve">• </w:t>
      </w:r>
      <w:r>
        <w:rPr>
          <w:b/>
        </w:rPr>
        <w:t xml:space="preserve">Answer:</w:t>
      </w:r>
      <w:r>
        <w:t xml:space="preserve"> *"Our risk stratification relies strictly on validated, published clinical formulas rather than opaque neural network guesses:</w:t>
      </w:r>
    </w:p>
    <w:p>
      <w:pPr>
        <w:ind w:left="400"/>
      </w:pPr>
      <w:r>
        <w:t xml:space="preserve">1. </w:t>
      </w:r>
      <w:r>
        <w:rPr>
          <w:b/>
        </w:rPr>
        <w:t xml:space="preserve">CKD-EPI 2021 Race-Free Equation</w:t>
      </w:r>
      <w:r>
        <w:t xml:space="preserve"> (NEJM 2021) for baseline eGFR.</w:t>
      </w:r>
    </w:p>
    <w:p>
      <w:pPr>
        <w:ind w:left="400"/>
      </w:pPr>
      <w:r>
        <w:t xml:space="preserve">2. </w:t>
      </w:r>
      <w:r>
        <w:rPr>
          <w:b/>
        </w:rPr>
        <w:t xml:space="preserve">Ordinary Least Squares (OLS) longitudinal slope regression</w:t>
      </w:r>
      <w:r>
        <w:t xml:space="preserve"> across all historical timepoints to capture rapid progressors losing </w:t>
      </w:r>
      <w:r>
        <w:rPr>
          <w:i/>
        </w:rPr>
        <w:t xml:space="preserve">&gt;3\text{ mL/min/1.73m}^2/\text{year}</w:t>
      </w:r>
      <w:r>
        <w:t xml:space="preserve">.</w:t>
      </w:r>
    </w:p>
    <w:p>
      <w:pPr>
        <w:ind w:left="400"/>
      </w:pPr>
      <w:r>
        <w:t xml:space="preserve">3. </w:t>
      </w:r>
      <w:r>
        <w:rPr>
          <w:b/>
        </w:rPr>
        <w:t xml:space="preserve">The Tangri 4-Variable Kidney Failure Risk Equation (KFRE)</w:t>
      </w:r>
      <w:r>
        <w:t xml:space="preserve"> (JAMA 2016), which has been validated across &gt;700,000 patients worldwide with a proven C-statistic of </w:t>
      </w:r>
      <w:r>
        <w:rPr>
          <w:i/>
        </w:rPr>
        <w:t xml:space="preserve">0.89–0.91</w:t>
      </w:r>
      <w:r>
        <w:t xml:space="preserve">.</w:t>
      </w:r>
    </w:p>
    <w:p>
      <w:pPr>
        <w:pStyle w:val="Normal"/>
      </w:pPr>
      <w:r>
        <w:t xml:space="preserve">Every recommendation links directly to </w:t>
      </w:r>
      <w:r>
        <w:rPr>
          <w:b/>
        </w:rPr>
        <w:t xml:space="preserve">KDIGO 2024 Guidelines</w:t>
      </w:r>
      <w:r>
        <w:t xml:space="preserve">, ensuring our system qualifies as a certified, explainable Clinical Decision Support aid ready for regulatory clearance."*</w:t>
      </w:r>
    </w:p>
    <w:p>
      <w:pPr>
        <w:pBdr>
          <w:bottom w:val="single" w:sz="8" w:space="8" w:color="CBD5E1"/>
        </w:pBdr>
      </w:pPr>
    </w:p>
    <w:p>
      <w:pPr>
        <w:pStyle w:val="Heading2"/>
      </w:pPr>
      <w:r>
        <w:t xml:space="preserve">10. Section 9: Document Governance &amp; Change Control</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rPr>
          <w:tblHeader/>
        </w:trPr>
        <w:tc>
          <w:tcPr>
            <w:shd w:val="clear" w:color="auto" w:fill="F1F5F9"/>
          </w:tcPr>
          <w:p>
            <w:pPr>
              <w:spacing w:after="60"/>
            </w:pPr>
            <w:r>
              <w:t xml:space="preserve">Version</w:t>
            </w:r>
          </w:p>
        </w:tc>
        <w:tc>
          <w:tcPr>
            <w:shd w:val="clear" w:color="auto" w:fill="F1F5F9"/>
          </w:tcPr>
          <w:p>
            <w:pPr>
              <w:spacing w:after="60"/>
            </w:pPr>
            <w:r>
              <w:t xml:space="preserve">Status</w:t>
            </w:r>
          </w:p>
        </w:tc>
        <w:tc>
          <w:tcPr>
            <w:shd w:val="clear" w:color="auto" w:fill="F1F5F9"/>
          </w:tcPr>
          <w:p>
            <w:pPr>
              <w:spacing w:after="60"/>
            </w:pPr>
            <w:r>
              <w:t xml:space="preserve">Primary Author / Contributor</w:t>
            </w:r>
          </w:p>
        </w:tc>
        <w:tc>
          <w:tcPr>
            <w:shd w:val="clear" w:color="auto" w:fill="F1F5F9"/>
          </w:tcPr>
          <w:p>
            <w:pPr>
              <w:spacing w:after="60"/>
            </w:pPr>
            <w:r>
              <w:t xml:space="preserve">Description of Changes</w:t>
            </w:r>
          </w:p>
        </w:tc>
        <w:tc>
          <w:tcPr>
            <w:shd w:val="clear" w:color="auto" w:fill="F1F5F9"/>
          </w:tcPr>
          <w:p>
            <w:pPr>
              <w:spacing w:after="60"/>
            </w:pPr>
            <w:r>
              <w:t xml:space="preserve">Date</w:t>
            </w:r>
          </w:p>
        </w:tc>
      </w:tr>
      <w:tr>
        <w:tc>
          <w:tcPr>
            <w:shd w:val="clear" w:color="auto" w:fill="FFFFFF"/>
          </w:tcPr>
          <w:p>
            <w:pPr>
              <w:spacing w:after="40"/>
            </w:pPr>
            <w:r>
              <w:rPr>
                <w:rFonts w:ascii="Consolas" w:hAnsi="Consolas"/>
                <w:color w:val="B91C1C"/>
              </w:rPr>
              <w:t xml:space="preserve">1.0.0</w:t>
            </w:r>
          </w:p>
        </w:tc>
        <w:tc>
          <w:tcPr>
            <w:shd w:val="clear" w:color="auto" w:fill="FFFFFF"/>
          </w:tcPr>
          <w:p>
            <w:pPr>
              <w:spacing w:after="40"/>
            </w:pPr>
            <w:r>
              <w:rPr>
                <w:rFonts w:ascii="Consolas" w:hAnsi="Consolas"/>
                <w:color w:val="B91C1C"/>
              </w:rPr>
              <w:t xml:space="preserve">Approved</w:t>
            </w:r>
          </w:p>
        </w:tc>
        <w:tc>
          <w:tcPr>
            <w:shd w:val="clear" w:color="auto" w:fill="FFFFFF"/>
          </w:tcPr>
          <w:p>
            <w:pPr>
              <w:spacing w:after="40"/>
            </w:pPr>
            <w:r>
              <w:t xml:space="preserve">Antigravity AI &amp; Clinical Architecture Core</w:t>
            </w:r>
          </w:p>
        </w:tc>
        <w:tc>
          <w:tcPr>
            <w:shd w:val="clear" w:color="auto" w:fill="FFFFFF"/>
          </w:tcPr>
          <w:p>
            <w:pPr>
              <w:spacing w:after="40"/>
            </w:pPr>
            <w:r>
              <w:t xml:space="preserve">Initial comprehensive synthesis compiling Steps 1–6, 21 OCR catalog concepts, pure-software filtering, and complete Mermaid system flows.</w:t>
            </w:r>
          </w:p>
        </w:tc>
        <w:tc>
          <w:tcPr>
            <w:shd w:val="clear" w:color="auto" w:fill="FFFFFF"/>
          </w:tcPr>
          <w:p>
            <w:pPr>
              <w:spacing w:after="40"/>
            </w:pPr>
            <w:r>
              <w:t xml:space="preserve">October 2026</w:t>
            </w:r>
          </w:p>
        </w:tc>
      </w:tr>
    </w:tbl>
    <w:p>
      <w:pPr>
        <w:spacing w:after="120"/>
      </w:pPr>
    </w:p>
    <w:p>
      <w:pPr>
        <w:pBdr>
          <w:bottom w:val="single" w:sz="8" w:space="8" w:color="CBD5E1"/>
        </w:pBdr>
      </w:pPr>
    </w:p>
    <w:p>
      <w:pPr>
        <w:pStyle w:val="Normal"/>
      </w:pPr>
      <w:r>
        <w:rPr>
          <w:i/>
        </w:rPr>
        <w:t xml:space="preserve">End of Master Strategic Research &amp; Ideation Synthesis.</w:t>
      </w:r>
    </w:p>
    <w:sectPr>
      <w:pgSz w:w="12240" w:h="15840"/>
      <w:pgMar w:top="1440" w:right="1440" w:bottom="1440" w:left="1440"/>
    </w:sectPr>
  </w:body>
</w:document>
</file>

<file path=word/styles.xml><?xml version="1.0" encoding="utf-8"?>
<w:styles xmlns:w="http://schemas.openxmlformats.org/wordprocessingml/2006/main">
  <w:docDefaults>
    <w:rPrDefault>
      <w:rPr>
        <w:rFonts w:ascii="Arial" w:hAnsi="Arial" w:cs="Arial"/>
        <w:sz w:val="22"/>
        <w:color w:val="333333"/>
      </w:rPr>
    </w:rPrDefault>
  </w:docDefaults>
  <w:style w:type="paragraph" w:styleId="Normal" w:default="1">
    <w:name w:val="Normal"/>
    <w:pPr>
      <w:spacing w:after="160" w:line="276" w:lineRule="auto"/>
    </w:pPr>
  </w:style>
  <w:style w:type="paragraph" w:styleId="Heading1">
    <w:name w:val="heading 1"/>
    <w:pPr>
      <w:spacing w:before="360" w:after="160"/>
    </w:pPr>
    <w:rPr>
      <w:b/>
      <w:color w:val="0F172A"/>
      <w:sz w:val="36"/>
    </w:rPr>
  </w:style>
  <w:style w:type="paragraph" w:styleId="Heading2">
    <w:name w:val="heading 2"/>
    <w:pPr>
      <w:spacing w:before="280" w:after="120"/>
    </w:pPr>
    <w:rPr>
      <w:b/>
      <w:color w:val="1E293B"/>
      <w:sz w:val="28"/>
    </w:rPr>
  </w:style>
  <w:style w:type="paragraph" w:styleId="Heading3">
    <w:name w:val="heading 3"/>
    <w:pPr>
      <w:spacing w:before="200" w:after="100"/>
    </w:pPr>
    <w:rPr>
      <w:b/>
      <w:color w:val="2563EB"/>
      <w:sz w:val="24"/>
    </w:rPr>
  </w:style>
  <w:style w:type="paragraph" w:styleId="Quote">
    <w:name w:val="Quote"/>
    <w:pPr>
      <w:pBdr>
        <w:left w:val="single" w:sz="24" w:space="15" w:color="2563EB"/>
      </w:pBdr>
      <w:ind w:left="360"/>
      <w:spacing w:before="140" w:after="140"/>
    </w:pPr>
    <w:rPr>
      <w:i/>
      <w:color w:val="47556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