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Turning Cybersecurity Expertise Into Brand Assets:</w:t>
      </w:r>
    </w:p>
    <w:p w:rsidR="00000000" w:rsidDel="00000000" w:rsidP="00000000" w:rsidRDefault="00000000" w:rsidRPr="00000000" w14:paraId="00000002">
      <w:pPr>
        <w:ind w:left="0" w:firstLine="0"/>
        <w:rPr>
          <w:rFonts w:ascii="Poppins" w:cs="Poppins" w:eastAsia="Poppins" w:hAnsi="Poppins"/>
        </w:rPr>
      </w:pPr>
      <w:r w:rsidDel="00000000" w:rsidR="00000000" w:rsidRPr="00000000">
        <w:rPr>
          <w:rFonts w:ascii="Poppins" w:cs="Poppins" w:eastAsia="Poppins" w:hAnsi="Poppins"/>
          <w:rtl w:val="0"/>
        </w:rPr>
        <w:t xml:space="preserve">file:///C:/Users/monic/Downloads/AI%20Security%20Report%202026.pdf</w:t>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Create proprietary</w:t>
      </w:r>
      <w:r w:rsidDel="00000000" w:rsidR="00000000" w:rsidRPr="00000000">
        <w:rPr>
          <w:rFonts w:ascii="Poppins" w:cs="Poppins" w:eastAsia="Poppins" w:hAnsi="Poppins"/>
          <w:b w:val="1"/>
          <w:bCs w:val="1"/>
          <w:rtl w:val="0"/>
        </w:rPr>
        <w:t xml:space="preserve">, research-led reports that turn our cybersecurity expertise</w:t>
      </w:r>
      <w:r w:rsidDel="00000000" w:rsidR="00000000" w:rsidRPr="00000000">
        <w:rPr>
          <w:rFonts w:ascii="Poppins" w:cs="Poppins" w:eastAsia="Poppins" w:hAnsi="Poppins"/>
          <w:rtl w:val="0"/>
        </w:rPr>
        <w:t xml:space="preserve"> into authoritative, high-value brand assets.</w:t>
      </w:r>
    </w:p>
    <w:p w:rsidR="00000000" w:rsidDel="00000000" w:rsidP="00000000" w:rsidRDefault="00000000" w:rsidRPr="00000000" w14:paraId="00000004">
      <w:pPr>
        <w:ind w:left="0" w:firstLine="0"/>
        <w:rPr>
          <w:rFonts w:ascii="Poppins" w:cs="Poppins" w:eastAsia="Poppins" w:hAnsi="Poppins"/>
        </w:rPr>
      </w:pPr>
      <w:r w:rsidDel="00000000" w:rsidR="00000000" w:rsidRPr="00000000">
        <w:rPr>
          <w:rFonts w:ascii="Poppins" w:cs="Poppins" w:eastAsia="Poppins" w:hAnsi="Poppins"/>
          <w:rtl w:val="0"/>
        </w:rPr>
        <w:t xml:space="preserve">Use each report to build sustained SEO/AEO visibility, thought leadership, PR, backlinks, and downstream content. </w:t>
      </w:r>
    </w:p>
    <w:p w:rsidR="00000000" w:rsidDel="00000000" w:rsidP="00000000" w:rsidRDefault="00000000" w:rsidRPr="00000000" w14:paraId="00000005">
      <w:pPr>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8288000" cy="836295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288000"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numPr>
          <w:ilvl w:val="0"/>
          <w:numId w:val="1"/>
        </w:numPr>
        <w:spacing w:after="240" w:before="240" w:lineRule="auto"/>
        <w:ind w:left="720" w:right="600" w:hanging="360"/>
        <w:rPr>
          <w:rFonts w:ascii="Poppins" w:cs="Poppins" w:eastAsia="Poppins" w:hAnsi="Poppins"/>
        </w:rPr>
      </w:pPr>
      <w:r w:rsidDel="00000000" w:rsidR="00000000" w:rsidRPr="00000000">
        <w:rPr>
          <w:rFonts w:ascii="Poppins" w:cs="Poppins" w:eastAsia="Poppins" w:hAnsi="Poppins"/>
          <w:b w:val="1"/>
          <w:bCs w:val="1"/>
          <w:rtl w:val="0"/>
        </w:rPr>
        <w:t xml:space="preserve">Competitive Shift: From Security Blogs to Threat Intelligence Hubs: </w:t>
      </w:r>
      <w:hyperlink r:id="rId11">
        <w:r w:rsidDel="00000000" w:rsidR="00000000" w:rsidRPr="00000000">
          <w:rPr>
            <w:rFonts w:ascii="Poppins" w:cs="Poppins" w:eastAsia="Poppins" w:hAnsi="Poppins"/>
            <w:b w:val="1"/>
            <w:bCs w:val="1"/>
            <w:color w:val="1155cc"/>
            <w:u w:val="single"/>
            <w:rtl w:val="0"/>
          </w:rPr>
          <w:t xml:space="preserve">https://www.wiz.io/cloud-threat-landscape</w:t>
        </w:r>
      </w:hyperlink>
      <w:r w:rsidDel="00000000" w:rsidR="00000000" w:rsidRPr="00000000">
        <w:rPr>
          <w:rFonts w:ascii="Poppins" w:cs="Poppins" w:eastAsia="Poppins" w:hAnsi="Poppins"/>
          <w:b w:val="1"/>
          <w:bCs w:val="1"/>
          <w:rtl w:val="0"/>
        </w:rPr>
        <w:t xml:space="preserve"> </w:t>
      </w:r>
    </w:p>
    <w:p w:rsidR="00000000" w:rsidDel="00000000" w:rsidP="00000000" w:rsidRDefault="00000000" w:rsidRPr="00000000" w14:paraId="00000008">
      <w:pPr>
        <w:spacing w:after="240" w:before="240" w:lineRule="auto"/>
        <w:ind w:left="0" w:right="600" w:firstLine="0"/>
        <w:rPr>
          <w:rFonts w:ascii="Poppins" w:cs="Poppins" w:eastAsia="Poppins" w:hAnsi="Poppins"/>
          <w:b w:val="1"/>
          <w:bCs w:val="1"/>
        </w:rPr>
      </w:pPr>
      <w:r w:rsidDel="00000000" w:rsidR="00000000" w:rsidRPr="00000000">
        <w:rPr>
          <w:rFonts w:ascii="Poppins" w:cs="Poppins" w:eastAsia="Poppins" w:hAnsi="Poppins"/>
          <w:rtl w:val="0"/>
        </w:rPr>
        <w:t xml:space="preserve">Competitors are moving beyond blogs to build data-led threat intelligence hubs designed to capture broad, high-intent search demand across threats, actors, techniques, vulnerabilities, and incidents.</w:t>
      </w:r>
      <w:r w:rsidDel="00000000" w:rsidR="00000000" w:rsidRPr="00000000">
        <w:rPr>
          <w:rFonts w:ascii="Poppins" w:cs="Poppins" w:eastAsia="Poppins" w:hAnsi="Poppins"/>
          <w:b w:val="1"/>
          <w:bCs w:val="1"/>
          <w:rtl w:val="0"/>
        </w:rPr>
        <w:br w:type="textWrapping"/>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These evergreen hubs strengthen topical authority, improve AI/search visibility, and create scalable entry points into their broader security platforms and research.</w:t>
      </w:r>
    </w:p>
    <w:p w:rsidR="00000000" w:rsidDel="00000000" w:rsidP="00000000" w:rsidRDefault="00000000" w:rsidRPr="00000000" w14:paraId="00000009">
      <w:pPr>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8288000" cy="8362950"/>
            <wp:effectExtent b="25400" l="25400" r="25400" t="254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288000" cy="83629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PQC tester: </w:t>
      </w:r>
      <w:hyperlink r:id="rId13">
        <w:r w:rsidDel="00000000" w:rsidR="00000000" w:rsidRPr="00000000">
          <w:rPr>
            <w:rFonts w:ascii="Poppins" w:cs="Poppins" w:eastAsia="Poppins" w:hAnsi="Poppins"/>
            <w:color w:val="1155cc"/>
            <w:u w:val="single"/>
            <w:rtl w:val="0"/>
          </w:rPr>
          <w:t xml:space="preserve">https://www.wiz.io/pqc-tester</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0C">
      <w:pPr>
        <w:ind w:left="0" w:firstLine="0"/>
        <w:rPr>
          <w:rFonts w:ascii="Poppins" w:cs="Poppins" w:eastAsia="Poppins" w:hAnsi="Poppins"/>
        </w:rPr>
      </w:pPr>
      <w:r w:rsidDel="00000000" w:rsidR="00000000" w:rsidRPr="00000000">
        <w:rPr>
          <w:rFonts w:ascii="Poppins" w:cs="Poppins" w:eastAsia="Poppins" w:hAnsi="Poppins"/>
          <w:rtl w:val="0"/>
        </w:rPr>
        <w:t xml:space="preserve">Build a Fortinet PQC Readiness Tester to turn quantum-security awareness into action.</w:t>
      </w:r>
    </w:p>
    <w:p w:rsidR="00000000" w:rsidDel="00000000" w:rsidP="00000000" w:rsidRDefault="00000000" w:rsidRPr="00000000" w14:paraId="0000000D">
      <w:pPr>
        <w:ind w:left="0" w:firstLine="0"/>
        <w:rPr>
          <w:rFonts w:ascii="Poppins" w:cs="Poppins" w:eastAsia="Poppins" w:hAnsi="Poppins"/>
        </w:rPr>
      </w:pPr>
      <w:r w:rsidDel="00000000" w:rsidR="00000000" w:rsidRPr="00000000">
        <w:rPr>
          <w:rFonts w:ascii="Poppins" w:cs="Poppins" w:eastAsia="Poppins" w:hAnsi="Poppins"/>
          <w:b w:val="1"/>
          <w:bCs w:val="1"/>
          <w:rtl w:val="0"/>
        </w:rPr>
        <w:t xml:space="preserve">Fortinet could create a differentiated version that uses its existing PQC expertise to generate an actionable readiness assessment and naturally connect prospects to Fortinet’s quantum-safe solutions.</w:t>
      </w:r>
      <w:r w:rsidDel="00000000" w:rsidR="00000000" w:rsidRPr="00000000">
        <w:rPr>
          <w:rFonts w:ascii="Poppins" w:cs="Poppins" w:eastAsia="Poppins" w:hAnsi="Poppins"/>
          <w:rtl w:val="0"/>
        </w:rPr>
        <w:t xml:space="preserve"> </w:t>
      </w:r>
    </w:p>
    <w:p w:rsidR="00000000" w:rsidDel="00000000" w:rsidP="00000000" w:rsidRDefault="00000000" w:rsidRPr="00000000" w14:paraId="0000000E">
      <w:pPr>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7840325" cy="4943475"/>
            <wp:effectExtent b="25400" l="25400" r="25400" t="254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7840325" cy="49434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rFonts w:ascii="Poppins" w:cs="Poppins" w:eastAsia="Poppins" w:hAnsi="Poppins"/>
          <w:u w:val="none"/>
        </w:rPr>
      </w:pPr>
      <w:commentRangeStart w:id="0"/>
      <w:r w:rsidDel="00000000" w:rsidR="00000000" w:rsidRPr="00000000">
        <w:rPr>
          <w:rFonts w:ascii="Poppins" w:cs="Poppins" w:eastAsia="Poppins" w:hAnsi="Poppins"/>
          <w:b w:val="1"/>
          <w:bCs w:val="1"/>
          <w:rtl w:val="0"/>
        </w:rPr>
        <w:t xml:space="preserve">Turn key takeaways into an AI-search-ready summary:</w:t>
      </w:r>
      <w:commentRangeEnd w:id="0"/>
      <w:r w:rsidDel="00000000" w:rsidR="00000000" w:rsidRPr="00000000">
        <w:commentReference w:id="0"/>
      </w:r>
      <w:r w:rsidDel="00000000" w:rsidR="00000000" w:rsidRPr="00000000">
        <w:rPr>
          <w:rFonts w:ascii="Poppins" w:cs="Poppins" w:eastAsia="Poppins" w:hAnsi="Poppins"/>
          <w:rtl w:val="0"/>
        </w:rPr>
        <w:t xml:space="preserve"> </w:t>
      </w:r>
    </w:p>
    <w:p w:rsidR="00000000" w:rsidDel="00000000" w:rsidP="00000000" w:rsidRDefault="00000000" w:rsidRPr="00000000" w14:paraId="00000010">
      <w:pPr>
        <w:ind w:left="0" w:firstLine="0"/>
        <w:rPr>
          <w:rFonts w:ascii="Poppins" w:cs="Poppins" w:eastAsia="Poppins" w:hAnsi="Poppins"/>
        </w:rPr>
      </w:pPr>
      <w:r w:rsidDel="00000000" w:rsidR="00000000" w:rsidRPr="00000000">
        <w:rPr>
          <w:rFonts w:ascii="Poppins" w:cs="Poppins" w:eastAsia="Poppins" w:hAnsi="Poppins"/>
          <w:rtl w:val="0"/>
        </w:rPr>
        <w:t xml:space="preserve">Create concise, answer-ready summaries that help users quickly grasp the topic while giving search engines and AI platforms clear, authoritative information to surface. </w:t>
      </w:r>
    </w:p>
    <w:p w:rsidR="00000000" w:rsidDel="00000000" w:rsidP="00000000" w:rsidRDefault="00000000" w:rsidRPr="00000000" w14:paraId="00000011">
      <w:pPr>
        <w:ind w:left="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507724" cy="2061344"/>
            <wp:effectExtent b="12700" l="12700" r="12700" t="1270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07724" cy="20613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13">
      <w:pPr>
        <w:ind w:left="0" w:firstLine="0"/>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nica Leadwalnut" w:id="0" w:date="2026-09-08T07:16:18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notes: Make every CyberGlossary page instantly answerable.Enhancing the Key Takeaways section gives users and AI search engines an immediate, structured summary of the page’s most important insights—improving scannability, answer extraction, and the likelihood of Fortinet being surfaced for high-intent AI queries.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4"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08T07:16:1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14"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iz.io/cloud-threat-landscape" TargetMode="External"/><Relationship Id="rId10" Type="http://schemas.openxmlformats.org/officeDocument/2006/relationships/image" Target="media/image3.png"/><Relationship Id="rId13" Type="http://schemas.openxmlformats.org/officeDocument/2006/relationships/hyperlink" Target="https://www.wiz.io/pqc-tester"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