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SWTID-2026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-8682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team shall fill the following information in the proposed solution template.</w:t>
      </w:r>
      <w:r w:rsidDel="00000000" w:rsidR="00000000" w:rsidRPr="00000000">
        <w:rPr>
          <w:rtl w:val="0"/>
        </w:rPr>
      </w:r>
    </w:p>
    <w:tbl>
      <w:tblPr>
        <w:tblStyle w:val="Table2"/>
        <w:tblW w:w="9935.9997702858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6.3636045850023"/>
        <w:gridCol w:w="5707.636165700871"/>
        <w:gridCol w:w="3312"/>
        <w:tblGridChange w:id="0">
          <w:tblGrid>
            <w:gridCol w:w="916.3636045850023"/>
            <w:gridCol w:w="5707.636165700871"/>
            <w:gridCol w:w="3312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Users face high waiting times and repetitive queries that overload support channels. An automated AI assistant is needed to provide instant, accurate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 an AI-powered FAQ Assistant with Natural Language Processing (NLP) to instantly resolve user queries 24/7 across multiple channels.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Integrates multi-lingual contextual memory, automated fine-tuning from live interactions, and seamless escalation to human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Reduces resolution time from hours to seconds, significantly lowering customer frustration and increasing user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SaaS subscription model (Tiered based on active monthly queries / API usage) with add-on enterprise integration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Cloud-native microservices architecture that horizontally scales to support millions of concurrent user conversations effortlessly.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qOQvoWRZVlZrgTFw36qhzdwLg==">CgMxLjA4AHIhMVhrbUpwSWRIamFITFlEeVk5THlsdVFUSWl0MkFEUDls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