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74"/>
        <w:tblW w:w="10622" w:type="dxa"/>
        <w:tblLook w:val="0000" w:firstRow="0" w:lastRow="0" w:firstColumn="0" w:lastColumn="0" w:noHBand="0" w:noVBand="0"/>
      </w:tblPr>
      <w:tblGrid>
        <w:gridCol w:w="679"/>
        <w:gridCol w:w="919"/>
        <w:gridCol w:w="2646"/>
        <w:gridCol w:w="2676"/>
        <w:gridCol w:w="2526"/>
        <w:gridCol w:w="2323"/>
      </w:tblGrid>
      <w:tr w:rsidR="0010083E" w:rsidRPr="008E6DBA" w:rsidTr="00043D8D">
        <w:trPr>
          <w:trHeight w:val="170"/>
        </w:trPr>
        <w:tc>
          <w:tcPr>
            <w:tcW w:w="1598" w:type="dxa"/>
            <w:gridSpan w:val="2"/>
          </w:tcPr>
          <w:p w:rsidR="00F972B5" w:rsidRPr="008E6DBA" w:rsidRDefault="00F972B5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46" w:type="dxa"/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563" w:type="dxa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</w:p>
        </w:tc>
        <w:tc>
          <w:tcPr>
            <w:tcW w:w="2492" w:type="dxa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323" w:type="dxa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10083E" w:rsidRPr="008E6DBA" w:rsidTr="00043D8D">
        <w:trPr>
          <w:trHeight w:val="395"/>
        </w:trPr>
        <w:tc>
          <w:tcPr>
            <w:tcW w:w="1598" w:type="dxa"/>
            <w:gridSpan w:val="2"/>
          </w:tcPr>
          <w:p w:rsidR="00F972B5" w:rsidRPr="008E6DBA" w:rsidRDefault="00F972B5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2646" w:type="dxa"/>
          </w:tcPr>
          <w:p w:rsidR="00F972B5" w:rsidRPr="0094732A" w:rsidRDefault="00302E2B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Web</w:t>
            </w:r>
            <w:r w:rsidRPr="0094732A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services</w:t>
            </w:r>
            <w:r w:rsidRPr="0094732A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that make up a cloud computing</w:t>
            </w:r>
            <w:r w:rsidRPr="0094732A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  <w:r w:rsidRPr="0094732A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.</w:t>
            </w:r>
          </w:p>
        </w:tc>
        <w:tc>
          <w:tcPr>
            <w:tcW w:w="1563" w:type="dxa"/>
          </w:tcPr>
          <w:p w:rsidR="00F972B5" w:rsidRPr="0094732A" w:rsidRDefault="00302E2B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  <w:r w:rsidR="0094732A">
              <w:rPr>
                <w:rFonts w:ascii="Times New Roman" w:hAnsi="Times New Roman" w:cs="Times New Roman"/>
                <w:sz w:val="16"/>
                <w:szCs w:val="16"/>
              </w:rPr>
              <w:t>(PAAS)</w:t>
            </w: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 xml:space="preserve"> cloud computing platform for developing and hosting web applications in Google-managed data centers</w:t>
            </w:r>
          </w:p>
        </w:tc>
        <w:tc>
          <w:tcPr>
            <w:tcW w:w="2492" w:type="dxa"/>
          </w:tcPr>
          <w:p w:rsidR="00F972B5" w:rsidRPr="0094732A" w:rsidRDefault="00302E2B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681C40" w:rsidRPr="0094732A">
              <w:rPr>
                <w:rFonts w:ascii="Times New Roman" w:hAnsi="Times New Roman" w:cs="Times New Roman"/>
                <w:sz w:val="16"/>
                <w:szCs w:val="16"/>
              </w:rPr>
              <w:t>or building, deploying and managing applications and services through a global network of Microsoft-managed datacenters</w:t>
            </w:r>
          </w:p>
        </w:tc>
        <w:tc>
          <w:tcPr>
            <w:tcW w:w="2323" w:type="dxa"/>
          </w:tcPr>
          <w:p w:rsidR="00F972B5" w:rsidRPr="0094732A" w:rsidRDefault="00302E2B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4732A">
              <w:rPr>
                <w:rFonts w:ascii="Times New Roman" w:hAnsi="Times New Roman" w:cs="Times New Roman"/>
                <w:sz w:val="16"/>
                <w:szCs w:val="16"/>
              </w:rPr>
              <w:t>Enhanced capabilities for collaborative cloud development using Rational Software Delivery Services for Cloud Computing.</w:t>
            </w:r>
          </w:p>
        </w:tc>
      </w:tr>
      <w:tr w:rsidR="0010083E" w:rsidRPr="008E6DBA" w:rsidTr="00043D8D">
        <w:trPr>
          <w:trHeight w:val="923"/>
        </w:trPr>
        <w:tc>
          <w:tcPr>
            <w:tcW w:w="1598" w:type="dxa"/>
            <w:gridSpan w:val="2"/>
          </w:tcPr>
          <w:p w:rsidR="00F972B5" w:rsidRPr="008E6DBA" w:rsidRDefault="00F972B5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2646" w:type="dxa"/>
          </w:tcPr>
          <w:p w:rsidR="0094732A" w:rsidRDefault="0094732A" w:rsidP="00043D8D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Flexibilty to launch applications regardless of use case or industry.</w:t>
            </w:r>
          </w:p>
          <w:p w:rsidR="0094732A" w:rsidRDefault="0094732A" w:rsidP="00043D8D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F972B5" w:rsidRPr="008E6DBA" w:rsidRDefault="00043D8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43D8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543050" cy="1819275"/>
                  <wp:effectExtent l="0" t="0" r="0" b="9525"/>
                  <wp:docPr id="1" name="Picture 1" descr="C:\Users\Shashi\Desktop\ASE\Increment2\screens\Captur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i\Desktop\ASE\Increment2\screens\Captur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:rsidR="00F972B5" w:rsidRPr="008E6DBA" w:rsidRDefault="0094472A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search engine infrastructure with redundancy, global network and products like spanner, flume.</w:t>
            </w:r>
            <w:r w:rsidR="00043D8D" w:rsidRPr="00043D8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562100" cy="1991449"/>
                  <wp:effectExtent l="0" t="0" r="0" b="8890"/>
                  <wp:docPr id="2" name="Picture 2" descr="C:\Users\Shashi\Desktop\ASE\Increment2\screens\Captur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i\Desktop\ASE\Increment2\screens\Captur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044" cy="1992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dxa"/>
          </w:tcPr>
          <w:p w:rsidR="00F972B5" w:rsidRDefault="0094472A" w:rsidP="009447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wide range of open and community driven OS and software solutions.</w:t>
            </w:r>
          </w:p>
          <w:p w:rsidR="00FD3191" w:rsidRDefault="00FD3191" w:rsidP="009447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D3191" w:rsidRPr="0094472A" w:rsidRDefault="00FD3191" w:rsidP="009447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083E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4238A91" wp14:editId="7287B64A">
                  <wp:extent cx="1466850" cy="1714499"/>
                  <wp:effectExtent l="0" t="0" r="0" b="635"/>
                  <wp:docPr id="3" name="Picture 3" descr="C:\Users\Shashi\Desktop\ASE\Increment2\screens\Captur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i\Desktop\ASE\Increment2\screens\Captur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170" cy="1721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3" w:type="dxa"/>
          </w:tcPr>
          <w:p w:rsidR="007D4F85" w:rsidRDefault="007D4F85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Flexible to have public, private, hybrid cloud depending on business needs.</w:t>
            </w:r>
          </w:p>
          <w:p w:rsidR="00FD3191" w:rsidRPr="008E6DBA" w:rsidRDefault="00FD3191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083E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E54DB71" wp14:editId="08735040">
                  <wp:extent cx="1209675" cy="2037461"/>
                  <wp:effectExtent l="0" t="0" r="0" b="1270"/>
                  <wp:docPr id="4" name="Picture 4" descr="C:\Users\Shashi\Desktop\ASE\Increment2\screens\Captur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ashi\Desktop\ASE\Increment2\screens\Captur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717" cy="21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83E" w:rsidRPr="008E6DBA" w:rsidTr="00043D8D">
        <w:trPr>
          <w:trHeight w:val="903"/>
        </w:trPr>
        <w:tc>
          <w:tcPr>
            <w:tcW w:w="1598" w:type="dxa"/>
            <w:gridSpan w:val="2"/>
          </w:tcPr>
          <w:p w:rsidR="00F972B5" w:rsidRPr="008E6DBA" w:rsidRDefault="008C1E2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2646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563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92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PAAS, IAAS</w:t>
            </w:r>
          </w:p>
        </w:tc>
        <w:tc>
          <w:tcPr>
            <w:tcW w:w="2323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10083E" w:rsidRPr="008E6DBA" w:rsidTr="00043D8D">
        <w:trPr>
          <w:trHeight w:val="494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2646" w:type="dxa"/>
          </w:tcPr>
          <w:p w:rsidR="00810840" w:rsidRPr="008E6DBA" w:rsidRDefault="00377D86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(ELB)</w:t>
            </w:r>
          </w:p>
        </w:tc>
        <w:tc>
          <w:tcPr>
            <w:tcW w:w="1563" w:type="dxa"/>
          </w:tcPr>
          <w:p w:rsidR="00F972B5" w:rsidRPr="008E6DBA" w:rsidRDefault="00377D86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storage.</w:t>
            </w:r>
          </w:p>
        </w:tc>
        <w:tc>
          <w:tcPr>
            <w:tcW w:w="2492" w:type="dxa"/>
          </w:tcPr>
          <w:p w:rsidR="00F972B5" w:rsidRPr="008E6DBA" w:rsidRDefault="00377D86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Storage</w:t>
            </w:r>
          </w:p>
        </w:tc>
        <w:tc>
          <w:tcPr>
            <w:tcW w:w="2323" w:type="dxa"/>
          </w:tcPr>
          <w:p w:rsidR="00F972B5" w:rsidRPr="008E6DBA" w:rsidRDefault="0063295E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MongoDB,MySQLPostGreSQL.</w:t>
            </w:r>
          </w:p>
        </w:tc>
      </w:tr>
      <w:tr w:rsidR="0010083E" w:rsidRPr="008E6DBA" w:rsidTr="00043D8D">
        <w:trPr>
          <w:trHeight w:val="629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2646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Amazon cloud watch</w:t>
            </w:r>
          </w:p>
        </w:tc>
        <w:tc>
          <w:tcPr>
            <w:tcW w:w="1563" w:type="dxa"/>
          </w:tcPr>
          <w:p w:rsidR="00F972B5" w:rsidRPr="006E6EE8" w:rsidRDefault="006E6EE8" w:rsidP="006E6E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E6EE8">
              <w:rPr>
                <w:rFonts w:ascii="Times New Roman" w:hAnsi="Times New Roman" w:cs="Times New Roman"/>
                <w:sz w:val="16"/>
                <w:szCs w:val="16"/>
              </w:rPr>
              <w:t xml:space="preserve">Use cloud monitoring API’s. </w:t>
            </w:r>
            <w:r w:rsidR="002F0048" w:rsidRPr="006E6EE8">
              <w:rPr>
                <w:rFonts w:ascii="Times New Roman" w:hAnsi="Times New Roman" w:cs="Times New Roman"/>
                <w:sz w:val="16"/>
                <w:szCs w:val="16"/>
              </w:rPr>
              <w:t xml:space="preserve">Review performance metrics for cloud services, virtual machines, and common open source servers such as MongoDB, Apache, Nginx, Elastic search, and more. </w:t>
            </w:r>
          </w:p>
        </w:tc>
        <w:tc>
          <w:tcPr>
            <w:tcW w:w="2492" w:type="dxa"/>
          </w:tcPr>
          <w:p w:rsidR="00F972B5" w:rsidRPr="008E6DBA" w:rsidRDefault="00FD3191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323" w:type="dxa"/>
          </w:tcPr>
          <w:p w:rsidR="00F972B5" w:rsidRPr="008E6DBA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IBM smart cloud monitoring tools to monitor the health and performance of private cloud infrastructure.</w:t>
            </w:r>
          </w:p>
        </w:tc>
      </w:tr>
      <w:tr w:rsidR="0010083E" w:rsidRPr="008E6DBA" w:rsidTr="00043D8D">
        <w:trPr>
          <w:trHeight w:val="984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2646" w:type="dxa"/>
          </w:tcPr>
          <w:p w:rsidR="00F972B5" w:rsidRPr="006E6EE8" w:rsidRDefault="006E6EE8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E6EE8"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(ELB). </w:t>
            </w:r>
            <w:r w:rsidR="00302E2B" w:rsidRPr="006E6EE8">
              <w:rPr>
                <w:rFonts w:ascii="Times New Roman" w:hAnsi="Times New Roman" w:cs="Times New Roman"/>
                <w:sz w:val="16"/>
                <w:szCs w:val="16"/>
              </w:rPr>
              <w:t>Elastic Load Balancing automatically distributes incoming application traffic across multiple Amazon EC2 instances in the cloud.</w:t>
            </w:r>
          </w:p>
        </w:tc>
        <w:tc>
          <w:tcPr>
            <w:tcW w:w="1563" w:type="dxa"/>
          </w:tcPr>
          <w:p w:rsidR="00F972B5" w:rsidRPr="00CB5767" w:rsidRDefault="00EF7C79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B5767">
              <w:rPr>
                <w:rFonts w:ascii="Times New Roman" w:hAnsi="Times New Roman" w:cs="Times New Roman"/>
                <w:sz w:val="16"/>
                <w:szCs w:val="16"/>
              </w:rPr>
              <w:t>Google Compute Engine offers server-side load balancing so you can distribute incoming network traffic across multiple virtual machine instances.</w:t>
            </w:r>
          </w:p>
        </w:tc>
        <w:tc>
          <w:tcPr>
            <w:tcW w:w="2492" w:type="dxa"/>
          </w:tcPr>
          <w:p w:rsidR="00CB5767" w:rsidRDefault="00C32E73" w:rsidP="00C32E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There are two levels of load balancing available for Azure infrastructure services:</w:t>
            </w:r>
          </w:p>
          <w:p w:rsidR="00CB5767" w:rsidRDefault="00C32E73" w:rsidP="00C32E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CB57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DNS Level</w:t>
            </w: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 xml:space="preserve">: Load balancing for traffic to different cloud services located in different data </w:t>
            </w:r>
            <w:r w:rsidR="00CB5767"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centres</w:t>
            </w: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 xml:space="preserve">, to different Azure websites located in different data </w:t>
            </w:r>
            <w:r w:rsidR="00CB5767"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centres</w:t>
            </w: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, or to external endpoints. This is done with Traffic Manager and the Round Robin load balancing</w:t>
            </w:r>
            <w:r w:rsidRPr="00C32E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method.</w:t>
            </w:r>
          </w:p>
          <w:p w:rsidR="00C32E73" w:rsidRPr="00C32E73" w:rsidRDefault="00C32E73" w:rsidP="00C32E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B57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Network Level</w:t>
            </w: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: Load balancing of incoming Internet traffic to different virtual machines of a cloud service, or load balancing of traffic between virtual machines in a cloud service or virtual</w:t>
            </w:r>
            <w:r w:rsidRPr="00C32E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network. T</w:t>
            </w:r>
            <w:r w:rsidR="00CB5767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his is done with the Azure load balancer</w:t>
            </w:r>
            <w:r w:rsidRPr="00C32E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:rsidR="00F972B5" w:rsidRPr="008E6DBA" w:rsidRDefault="00F972B5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3" w:type="dxa"/>
          </w:tcPr>
          <w:p w:rsidR="00F972B5" w:rsidRPr="008E6DBA" w:rsidRDefault="00377D86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Balancing.</w:t>
            </w:r>
          </w:p>
        </w:tc>
      </w:tr>
      <w:tr w:rsidR="0010083E" w:rsidRPr="008E6DBA" w:rsidTr="00043D8D">
        <w:trPr>
          <w:trHeight w:val="873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2646" w:type="dxa"/>
          </w:tcPr>
          <w:p w:rsidR="00F972B5" w:rsidRPr="00377D86" w:rsidRDefault="00043D8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D86">
              <w:rPr>
                <w:rFonts w:ascii="Times New Roman" w:hAnsi="Times New Roman" w:cs="Times New Roman"/>
                <w:sz w:val="16"/>
                <w:szCs w:val="16"/>
              </w:rPr>
              <w:t xml:space="preserve">Amazon Simple Queue Service (SQS) is a fast, reliable, scalable, fully managed message queuing service. SQS makes it simple and </w:t>
            </w:r>
            <w:r w:rsidRPr="00377D8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cost-effective to decouple the components of a cloud application.</w:t>
            </w:r>
          </w:p>
        </w:tc>
        <w:tc>
          <w:tcPr>
            <w:tcW w:w="1563" w:type="dxa"/>
          </w:tcPr>
          <w:p w:rsidR="00F972B5" w:rsidRPr="008E6DBA" w:rsidRDefault="00377D86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Push Queues </w:t>
            </w:r>
          </w:p>
        </w:tc>
        <w:tc>
          <w:tcPr>
            <w:tcW w:w="2492" w:type="dxa"/>
          </w:tcPr>
          <w:p w:rsidR="00F972B5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</w:t>
            </w:r>
          </w:p>
          <w:p w:rsidR="00064432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Queues</w:t>
            </w:r>
          </w:p>
        </w:tc>
        <w:tc>
          <w:tcPr>
            <w:tcW w:w="2323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and soft layer message queues.</w:t>
            </w:r>
          </w:p>
        </w:tc>
      </w:tr>
      <w:tr w:rsidR="0010083E" w:rsidRPr="008E6DBA" w:rsidTr="00043D8D">
        <w:trPr>
          <w:trHeight w:val="467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Development Tools</w:t>
            </w:r>
          </w:p>
        </w:tc>
        <w:tc>
          <w:tcPr>
            <w:tcW w:w="2646" w:type="dxa"/>
          </w:tcPr>
          <w:p w:rsidR="00F972B5" w:rsidRPr="00064432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AWS LAMBDA, AMAZON VPC, </w:t>
            </w:r>
            <w:r w:rsidR="00F57D1F" w:rsidRPr="00064432">
              <w:rPr>
                <w:rFonts w:ascii="Times New Roman" w:hAnsi="Times New Roman" w:cs="Times New Roman"/>
                <w:sz w:val="16"/>
                <w:szCs w:val="16"/>
              </w:rPr>
              <w:t>AMAZON S3,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57D1F" w:rsidRPr="00064432">
              <w:rPr>
                <w:rFonts w:ascii="Times New Roman" w:hAnsi="Times New Roman" w:cs="Times New Roman"/>
                <w:sz w:val="16"/>
                <w:szCs w:val="16"/>
              </w:rPr>
              <w:t>AMAZON GLACIER,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57D1F" w:rsidRPr="00064432">
              <w:rPr>
                <w:rFonts w:ascii="Times New Roman" w:hAnsi="Times New Roman" w:cs="Times New Roman"/>
                <w:sz w:val="16"/>
                <w:szCs w:val="16"/>
              </w:rPr>
              <w:t>AMAZON EBS.</w:t>
            </w:r>
          </w:p>
        </w:tc>
        <w:tc>
          <w:tcPr>
            <w:tcW w:w="1563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IntellIJ,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2492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SDK’s, Azure power shell</w:t>
            </w:r>
          </w:p>
        </w:tc>
        <w:tc>
          <w:tcPr>
            <w:tcW w:w="2323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foe SAP solution.</w:t>
            </w:r>
          </w:p>
        </w:tc>
      </w:tr>
      <w:tr w:rsidR="0010083E" w:rsidRPr="008E6DBA" w:rsidTr="00043D8D">
        <w:trPr>
          <w:trHeight w:val="530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2646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services are integrated to work with other AWS</w:t>
            </w:r>
          </w:p>
        </w:tc>
        <w:tc>
          <w:tcPr>
            <w:tcW w:w="1563" w:type="dxa"/>
          </w:tcPr>
          <w:p w:rsidR="00F972B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Many API’s available like</w:t>
            </w:r>
            <w:r w:rsidR="00A62990">
              <w:rPr>
                <w:rFonts w:ascii="Times New Roman" w:hAnsi="Times New Roman" w:cs="Times New Roman"/>
                <w:sz w:val="16"/>
                <w:szCs w:val="16"/>
              </w:rPr>
              <w:t xml:space="preserve"> google maps, contacts,etc.</w:t>
            </w:r>
          </w:p>
        </w:tc>
        <w:tc>
          <w:tcPr>
            <w:tcW w:w="2492" w:type="dxa"/>
          </w:tcPr>
          <w:p w:rsidR="00F972B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Many .NET services and line services. Microsoft Azure Biz Talk Services</w:t>
            </w:r>
          </w:p>
        </w:tc>
        <w:tc>
          <w:tcPr>
            <w:tcW w:w="2323" w:type="dxa"/>
          </w:tcPr>
          <w:p w:rsidR="00F972B5" w:rsidRPr="008E6DBA" w:rsidRDefault="00064432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Sandbox, </w:t>
            </w:r>
            <w:r w:rsidR="00DD6F4D">
              <w:rPr>
                <w:rFonts w:ascii="Times New Roman" w:hAnsi="Times New Roman" w:cs="Times New Roman"/>
                <w:sz w:val="16"/>
                <w:szCs w:val="16"/>
              </w:rPr>
              <w:t>Open clove, CRM</w:t>
            </w:r>
          </w:p>
        </w:tc>
      </w:tr>
      <w:tr w:rsidR="0010083E" w:rsidRPr="008E6DBA" w:rsidTr="00043D8D">
        <w:trPr>
          <w:trHeight w:val="350"/>
        </w:trPr>
        <w:tc>
          <w:tcPr>
            <w:tcW w:w="1598" w:type="dxa"/>
            <w:gridSpan w:val="2"/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2646" w:type="dxa"/>
          </w:tcPr>
          <w:p w:rsidR="00F972B5" w:rsidRPr="008E6DBA" w:rsidRDefault="0034778B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EC2</w:t>
            </w:r>
          </w:p>
        </w:tc>
        <w:tc>
          <w:tcPr>
            <w:tcW w:w="1563" w:type="dxa"/>
          </w:tcPr>
          <w:p w:rsidR="00F972B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2492" w:type="dxa"/>
          </w:tcPr>
          <w:p w:rsidR="00F972B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  <w:tc>
          <w:tcPr>
            <w:tcW w:w="2323" w:type="dxa"/>
          </w:tcPr>
          <w:p w:rsidR="00F972B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 </w:t>
            </w:r>
          </w:p>
        </w:tc>
      </w:tr>
      <w:tr w:rsidR="0010083E" w:rsidRPr="008E6DBA" w:rsidTr="00043D8D">
        <w:trPr>
          <w:trHeight w:val="761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:rsidR="00F972B5" w:rsidRPr="008E6DBA" w:rsidRDefault="0063295E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PHP.Java,.NET, Node,Ruby,Python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:rsidR="00F972B5" w:rsidRPr="008E6DBA" w:rsidRDefault="0063295E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Go,Java.PHP.Python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F972B5" w:rsidRPr="008E6DBA" w:rsidRDefault="0063295E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.NET,Java,PHP,Python,Ruby,Node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:rsidR="00F972B5" w:rsidRPr="008E6DBA" w:rsidRDefault="0063295E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JAVA.Node,Ruby</w:t>
            </w:r>
          </w:p>
        </w:tc>
      </w:tr>
      <w:tr w:rsidR="0010083E" w:rsidRPr="008E6DBA" w:rsidTr="00043D8D">
        <w:trPr>
          <w:trHeight w:val="477"/>
        </w:trPr>
        <w:tc>
          <w:tcPr>
            <w:tcW w:w="67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$0.14/hour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9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$0.12/hour</w:t>
            </w:r>
          </w:p>
        </w:tc>
        <w:tc>
          <w:tcPr>
            <w:tcW w:w="232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hour</w:t>
            </w:r>
          </w:p>
        </w:tc>
      </w:tr>
      <w:tr w:rsidR="0010083E" w:rsidRPr="008E6DBA" w:rsidTr="00043D8D">
        <w:trPr>
          <w:trHeight w:val="43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  <w:r w:rsidR="00DD6F4D">
              <w:rPr>
                <w:rFonts w:ascii="Times New Roman" w:hAnsi="Times New Roman" w:cs="Times New Roman"/>
                <w:sz w:val="16"/>
                <w:szCs w:val="16"/>
              </w:rPr>
              <w:t xml:space="preserve"> (GB)</w:t>
            </w: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</w:tcPr>
          <w:p w:rsidR="003E1370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$0.25/month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</w:t>
            </w:r>
            <w:r w:rsidR="00CC2B35">
              <w:rPr>
                <w:rFonts w:ascii="Times New Roman" w:hAnsi="Times New Roman" w:cs="Times New Roman"/>
                <w:sz w:val="16"/>
                <w:szCs w:val="16"/>
              </w:rPr>
              <w:t>/month</w:t>
            </w:r>
          </w:p>
        </w:tc>
        <w:tc>
          <w:tcPr>
            <w:tcW w:w="249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$0.15/month</w:t>
            </w:r>
          </w:p>
        </w:tc>
        <w:tc>
          <w:tcPr>
            <w:tcW w:w="2323" w:type="dxa"/>
            <w:tcBorders>
              <w:top w:val="single" w:sz="4" w:space="0" w:color="auto"/>
              <w:bottom w:val="single" w:sz="4" w:space="0" w:color="auto"/>
            </w:tcBorders>
          </w:tcPr>
          <w:p w:rsidR="003E1370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$0.15/month</w:t>
            </w:r>
          </w:p>
        </w:tc>
      </w:tr>
      <w:tr w:rsidR="0010083E" w:rsidRPr="008E6DBA" w:rsidTr="00043D8D">
        <w:trPr>
          <w:trHeight w:val="497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49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  <w:tc>
          <w:tcPr>
            <w:tcW w:w="232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</w:tr>
      <w:tr w:rsidR="0010083E" w:rsidRPr="008E6DBA" w:rsidTr="00043D8D">
        <w:trPr>
          <w:trHeight w:val="44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:rsidR="003C2985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1563" w:type="dxa"/>
            <w:tcBorders>
              <w:top w:val="single" w:sz="4" w:space="0" w:color="auto"/>
            </w:tcBorders>
          </w:tcPr>
          <w:p w:rsidR="00593D7F" w:rsidRDefault="00593D7F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13F6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2492" w:type="dxa"/>
            <w:tcBorders>
              <w:top w:val="single" w:sz="4" w:space="0" w:color="auto"/>
            </w:tcBorders>
          </w:tcPr>
          <w:p w:rsidR="007321D8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7321D8" w:rsidRPr="008E6DBA" w:rsidRDefault="00DD6F4D" w:rsidP="00043D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</w:tr>
    </w:tbl>
    <w:p w:rsidR="008E7FD1" w:rsidRDefault="00DF7CE6" w:rsidP="00DF7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bookmarkStart w:id="0" w:name="_GoBack"/>
      <w:bookmarkEnd w:id="0"/>
      <w:r w:rsidR="001B68B2"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247C0"/>
    <w:multiLevelType w:val="multilevel"/>
    <w:tmpl w:val="C70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3D8D"/>
    <w:rsid w:val="00064432"/>
    <w:rsid w:val="0010083E"/>
    <w:rsid w:val="001B68B2"/>
    <w:rsid w:val="001D0310"/>
    <w:rsid w:val="002F0048"/>
    <w:rsid w:val="00302E2B"/>
    <w:rsid w:val="0034778B"/>
    <w:rsid w:val="00357ECC"/>
    <w:rsid w:val="00377D86"/>
    <w:rsid w:val="003C2985"/>
    <w:rsid w:val="003E1370"/>
    <w:rsid w:val="00420A1E"/>
    <w:rsid w:val="004D13F6"/>
    <w:rsid w:val="00593D7F"/>
    <w:rsid w:val="005B29B2"/>
    <w:rsid w:val="0063295E"/>
    <w:rsid w:val="006772B2"/>
    <w:rsid w:val="00681C40"/>
    <w:rsid w:val="006E6EE8"/>
    <w:rsid w:val="007321D8"/>
    <w:rsid w:val="007D4F85"/>
    <w:rsid w:val="00800899"/>
    <w:rsid w:val="00810840"/>
    <w:rsid w:val="008C1E22"/>
    <w:rsid w:val="008E6DBA"/>
    <w:rsid w:val="008E75C0"/>
    <w:rsid w:val="008E7FD1"/>
    <w:rsid w:val="0094472A"/>
    <w:rsid w:val="0094732A"/>
    <w:rsid w:val="00A07E0A"/>
    <w:rsid w:val="00A62990"/>
    <w:rsid w:val="00AD27ED"/>
    <w:rsid w:val="00B44A50"/>
    <w:rsid w:val="00C32E73"/>
    <w:rsid w:val="00CB5767"/>
    <w:rsid w:val="00CC2B35"/>
    <w:rsid w:val="00D60353"/>
    <w:rsid w:val="00D93755"/>
    <w:rsid w:val="00DD6F4D"/>
    <w:rsid w:val="00DE4091"/>
    <w:rsid w:val="00DF7CE6"/>
    <w:rsid w:val="00EE4359"/>
    <w:rsid w:val="00EF7C79"/>
    <w:rsid w:val="00F57D1F"/>
    <w:rsid w:val="00F70B2B"/>
    <w:rsid w:val="00F96479"/>
    <w:rsid w:val="00F972B5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1C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32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Sandhya Sannapareddy</cp:lastModifiedBy>
  <cp:revision>2</cp:revision>
  <dcterms:created xsi:type="dcterms:W3CDTF">2015-03-31T00:38:00Z</dcterms:created>
  <dcterms:modified xsi:type="dcterms:W3CDTF">2015-03-31T00:38:00Z</dcterms:modified>
</cp:coreProperties>
</file>