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DD82" w14:textId="69067C03" w:rsidR="00564268" w:rsidRPr="00564268" w:rsidRDefault="00564268" w:rsidP="00564268">
      <w:pPr>
        <w:jc w:val="center"/>
        <w:rPr>
          <w:sz w:val="48"/>
          <w:szCs w:val="48"/>
        </w:rPr>
      </w:pPr>
      <w:r w:rsidRPr="00564268">
        <w:rPr>
          <w:sz w:val="48"/>
          <w:szCs w:val="48"/>
          <w:highlight w:val="yellow"/>
        </w:rPr>
        <w:t>SQL</w:t>
      </w:r>
    </w:p>
    <w:p w14:paraId="791CD7B1" w14:textId="4AAC3F86" w:rsidR="00564268" w:rsidRDefault="00564268" w:rsidP="00564268">
      <w:r>
        <w:t>-- 1. Overall Churn Rate</w:t>
      </w:r>
    </w:p>
    <w:p w14:paraId="4C066735" w14:textId="77777777" w:rsidR="00564268" w:rsidRDefault="00564268" w:rsidP="00564268">
      <w:r>
        <w:t>-- 2. Geography-wise Churn Rate</w:t>
      </w:r>
    </w:p>
    <w:p w14:paraId="2FF13183" w14:textId="77777777" w:rsidR="00564268" w:rsidRDefault="00564268" w:rsidP="00564268">
      <w:r>
        <w:t>-- 3. Churn Rate by Number of Products</w:t>
      </w:r>
    </w:p>
    <w:p w14:paraId="32EB31F0" w14:textId="77777777" w:rsidR="00564268" w:rsidRDefault="00564268" w:rsidP="00564268">
      <w:r>
        <w:t>-- 4. Active vs Inactive Member Churn</w:t>
      </w:r>
    </w:p>
    <w:p w14:paraId="64155947" w14:textId="77777777" w:rsidR="00564268" w:rsidRDefault="00564268" w:rsidP="00564268">
      <w:r>
        <w:t>-- 5. High-Value Disengaged Customers (High Balance + Inactive)</w:t>
      </w:r>
    </w:p>
    <w:p w14:paraId="0C69E991" w14:textId="77777777" w:rsidR="00564268" w:rsidRDefault="00564268" w:rsidP="00564268">
      <w:r>
        <w:t>-- 6. Tenure-wise Churn Rate</w:t>
      </w:r>
    </w:p>
    <w:p w14:paraId="76C8AA4C" w14:textId="77777777" w:rsidR="00564268" w:rsidRDefault="00564268" w:rsidP="00564268">
      <w:r>
        <w:t>-- 7. Customers with Credit Card vs Without</w:t>
      </w:r>
    </w:p>
    <w:p w14:paraId="3C50A538" w14:textId="004EF341" w:rsidR="00564268" w:rsidRDefault="00564268" w:rsidP="00564268">
      <w:r>
        <w:t>-- 8. Age Group Analysis (e.g., 18-30, 31-45, 46-60, 60+)</w:t>
      </w:r>
    </w:p>
    <w:p w14:paraId="492E99A5" w14:textId="77777777" w:rsidR="00564268" w:rsidRDefault="00564268" w:rsidP="00564268">
      <w:r>
        <w:t>-- 10. Balance &amp; Salary Mismatch Detection (Balance &gt; Salary)</w:t>
      </w:r>
    </w:p>
    <w:p w14:paraId="5A10E1F6" w14:textId="105CFAFC" w:rsidR="000417E7" w:rsidRDefault="006406B3" w:rsidP="00564268">
      <w:r>
        <w:t xml:space="preserve">-- 11. </w:t>
      </w:r>
      <w:r w:rsidRPr="006406B3">
        <w:t>-- KPI SUMMARY-</w:t>
      </w:r>
    </w:p>
    <w:sectPr w:rsidR="0004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62"/>
    <w:rsid w:val="000417E7"/>
    <w:rsid w:val="00564268"/>
    <w:rsid w:val="006406B3"/>
    <w:rsid w:val="009D2C65"/>
    <w:rsid w:val="00B86C62"/>
    <w:rsid w:val="00D10F83"/>
    <w:rsid w:val="00D118CE"/>
    <w:rsid w:val="00D8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8E98"/>
  <w15:chartTrackingRefBased/>
  <w15:docId w15:val="{124F6F3F-6A42-4E94-B01D-0B37A795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3</cp:revision>
  <dcterms:created xsi:type="dcterms:W3CDTF">2026-07-21T08:20:00Z</dcterms:created>
  <dcterms:modified xsi:type="dcterms:W3CDTF">2026-08-20T08:24:00Z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d8dae2ef-14dc-4ad7-be9e-11a9999a73af</vt:lpwstr>
  </property>
</Properties>
</file>