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003366"/>
          <w:spacing w:val="-2"/>
        </w:rPr>
        <w:t>Report</w:t>
      </w:r>
    </w:p>
    <w:p>
      <w:pPr>
        <w:pStyle w:val="BodyText"/>
        <w:spacing w:before="40"/>
        <w:rPr>
          <w:b/>
          <w:sz w:val="20"/>
        </w:rPr>
      </w:pPr>
    </w:p>
    <w:tbl>
      <w:tblPr>
        <w:tblW w:w="0" w:type="auto"/>
        <w:jc w:val="left"/>
        <w:tblInd w:w="365"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Layout w:type="fixed"/>
        <w:tblCellMar>
          <w:top w:w="0" w:type="dxa"/>
          <w:left w:w="0" w:type="dxa"/>
          <w:bottom w:w="0" w:type="dxa"/>
          <w:right w:w="0" w:type="dxa"/>
        </w:tblCellMar>
        <w:tblLook w:val="01E0"/>
      </w:tblPr>
      <w:tblGrid>
        <w:gridCol w:w="3602"/>
        <w:gridCol w:w="5763"/>
      </w:tblGrid>
      <w:tr>
        <w:trPr>
          <w:trHeight w:val="475" w:hRule="atLeast"/>
        </w:trPr>
        <w:tc>
          <w:tcPr>
            <w:tcW w:w="3602" w:type="dxa"/>
            <w:shd w:val="clear" w:color="auto" w:fill="F1F1F1"/>
          </w:tcPr>
          <w:p>
            <w:pPr>
              <w:pStyle w:val="TableParagraph"/>
              <w:ind w:left="110"/>
              <w:rPr>
                <w:b/>
                <w:sz w:val="21"/>
              </w:rPr>
            </w:pPr>
            <w:r>
              <w:rPr>
                <w:b/>
                <w:spacing w:val="-4"/>
                <w:sz w:val="21"/>
              </w:rPr>
              <w:t>Date</w:t>
            </w:r>
          </w:p>
        </w:tc>
        <w:tc>
          <w:tcPr>
            <w:tcW w:w="5763" w:type="dxa"/>
          </w:tcPr>
          <w:p>
            <w:pPr>
              <w:pStyle w:val="TableParagraph"/>
              <w:rPr>
                <w:sz w:val="21"/>
              </w:rPr>
            </w:pPr>
            <w:r>
              <w:rPr>
                <w:sz w:val="21"/>
              </w:rPr>
              <w:t>24</w:t>
            </w:r>
            <w:r>
              <w:rPr>
                <w:spacing w:val="-7"/>
                <w:sz w:val="21"/>
              </w:rPr>
              <w:t> </w:t>
            </w:r>
            <w:r>
              <w:rPr>
                <w:sz w:val="21"/>
              </w:rPr>
              <w:t>September</w:t>
            </w:r>
            <w:r>
              <w:rPr>
                <w:spacing w:val="-3"/>
                <w:sz w:val="21"/>
              </w:rPr>
              <w:t> </w:t>
            </w:r>
            <w:r>
              <w:rPr>
                <w:spacing w:val="-4"/>
                <w:sz w:val="21"/>
              </w:rPr>
              <w:t>2024</w:t>
            </w:r>
          </w:p>
        </w:tc>
      </w:tr>
      <w:tr>
        <w:trPr>
          <w:trHeight w:val="480" w:hRule="atLeast"/>
        </w:trPr>
        <w:tc>
          <w:tcPr>
            <w:tcW w:w="3602" w:type="dxa"/>
            <w:shd w:val="clear" w:color="auto" w:fill="F1F1F1"/>
          </w:tcPr>
          <w:p>
            <w:pPr>
              <w:pStyle w:val="TableParagraph"/>
              <w:ind w:left="110"/>
              <w:rPr>
                <w:b/>
                <w:sz w:val="21"/>
              </w:rPr>
            </w:pPr>
            <w:r>
              <w:rPr>
                <w:b/>
                <w:sz w:val="21"/>
              </w:rPr>
              <w:t>Team</w:t>
            </w:r>
            <w:r>
              <w:rPr>
                <w:b/>
                <w:spacing w:val="-4"/>
                <w:sz w:val="21"/>
              </w:rPr>
              <w:t> </w:t>
            </w:r>
            <w:r>
              <w:rPr>
                <w:b/>
                <w:spacing w:val="-5"/>
                <w:sz w:val="21"/>
              </w:rPr>
              <w:t>ID</w:t>
            </w:r>
          </w:p>
        </w:tc>
        <w:tc>
          <w:tcPr>
            <w:tcW w:w="5763" w:type="dxa"/>
          </w:tcPr>
          <w:p>
            <w:pPr>
              <w:pStyle w:val="TableParagraph"/>
              <w:rPr>
                <w:sz w:val="21"/>
              </w:rPr>
            </w:pPr>
            <w:r>
              <w:rPr>
                <w:spacing w:val="-2"/>
                <w:sz w:val="21"/>
              </w:rPr>
              <w:t>PNT2022TMIDxxxxxx</w:t>
            </w:r>
          </w:p>
        </w:tc>
      </w:tr>
      <w:tr>
        <w:trPr>
          <w:trHeight w:val="475" w:hRule="atLeast"/>
        </w:trPr>
        <w:tc>
          <w:tcPr>
            <w:tcW w:w="3602" w:type="dxa"/>
            <w:shd w:val="clear" w:color="auto" w:fill="F1F1F1"/>
          </w:tcPr>
          <w:p>
            <w:pPr>
              <w:pStyle w:val="TableParagraph"/>
              <w:ind w:left="110"/>
              <w:rPr>
                <w:b/>
                <w:sz w:val="21"/>
              </w:rPr>
            </w:pPr>
            <w:r>
              <w:rPr>
                <w:b/>
                <w:sz w:val="21"/>
              </w:rPr>
              <w:t>Project</w:t>
            </w:r>
            <w:r>
              <w:rPr>
                <w:b/>
                <w:spacing w:val="-4"/>
                <w:sz w:val="21"/>
              </w:rPr>
              <w:t> Name</w:t>
            </w:r>
          </w:p>
        </w:tc>
        <w:tc>
          <w:tcPr>
            <w:tcW w:w="5763" w:type="dxa"/>
          </w:tcPr>
          <w:p>
            <w:pPr>
              <w:pStyle w:val="TableParagraph"/>
              <w:rPr>
                <w:sz w:val="21"/>
              </w:rPr>
            </w:pPr>
            <w:r>
              <w:rPr>
                <w:sz w:val="21"/>
              </w:rPr>
              <w:t>Employee</w:t>
            </w:r>
            <w:r>
              <w:rPr>
                <w:spacing w:val="-6"/>
                <w:sz w:val="21"/>
              </w:rPr>
              <w:t> </w:t>
            </w:r>
            <w:r>
              <w:rPr>
                <w:sz w:val="21"/>
              </w:rPr>
              <w:t>Retention</w:t>
            </w:r>
            <w:r>
              <w:rPr>
                <w:spacing w:val="-6"/>
                <w:sz w:val="21"/>
              </w:rPr>
              <w:t> </w:t>
            </w:r>
            <w:r>
              <w:rPr>
                <w:sz w:val="21"/>
              </w:rPr>
              <w:t>&amp;</w:t>
            </w:r>
            <w:r>
              <w:rPr>
                <w:spacing w:val="-3"/>
                <w:sz w:val="21"/>
              </w:rPr>
              <w:t> </w:t>
            </w:r>
            <w:r>
              <w:rPr>
                <w:sz w:val="21"/>
              </w:rPr>
              <w:t>Performance</w:t>
            </w:r>
            <w:r>
              <w:rPr>
                <w:spacing w:val="-6"/>
                <w:sz w:val="21"/>
              </w:rPr>
              <w:t> </w:t>
            </w:r>
            <w:r>
              <w:rPr>
                <w:sz w:val="21"/>
              </w:rPr>
              <w:t>Analytics</w:t>
            </w:r>
            <w:r>
              <w:rPr>
                <w:spacing w:val="-3"/>
                <w:sz w:val="21"/>
              </w:rPr>
              <w:t> </w:t>
            </w:r>
            <w:r>
              <w:rPr>
                <w:spacing w:val="-2"/>
                <w:sz w:val="21"/>
              </w:rPr>
              <w:t>Report</w:t>
            </w:r>
          </w:p>
        </w:tc>
      </w:tr>
      <w:tr>
        <w:trPr>
          <w:trHeight w:val="480" w:hRule="atLeast"/>
        </w:trPr>
        <w:tc>
          <w:tcPr>
            <w:tcW w:w="3602" w:type="dxa"/>
            <w:shd w:val="clear" w:color="auto" w:fill="F1F1F1"/>
          </w:tcPr>
          <w:p>
            <w:pPr>
              <w:pStyle w:val="TableParagraph"/>
              <w:ind w:left="110"/>
              <w:rPr>
                <w:b/>
                <w:sz w:val="21"/>
              </w:rPr>
            </w:pPr>
            <w:r>
              <w:rPr>
                <w:b/>
                <w:sz w:val="21"/>
              </w:rPr>
              <w:t>Maximum</w:t>
            </w:r>
            <w:r>
              <w:rPr>
                <w:b/>
                <w:spacing w:val="-6"/>
                <w:sz w:val="21"/>
              </w:rPr>
              <w:t> </w:t>
            </w:r>
            <w:r>
              <w:rPr>
                <w:b/>
                <w:spacing w:val="-2"/>
                <w:sz w:val="21"/>
              </w:rPr>
              <w:t>Marks</w:t>
            </w:r>
          </w:p>
        </w:tc>
        <w:tc>
          <w:tcPr>
            <w:tcW w:w="5763" w:type="dxa"/>
          </w:tcPr>
          <w:p>
            <w:pPr>
              <w:pStyle w:val="TableParagraph"/>
              <w:rPr>
                <w:sz w:val="21"/>
              </w:rPr>
            </w:pPr>
            <w:r>
              <w:rPr>
                <w:sz w:val="21"/>
              </w:rPr>
              <w:t>5</w:t>
            </w:r>
            <w:r>
              <w:rPr>
                <w:spacing w:val="-1"/>
                <w:sz w:val="21"/>
              </w:rPr>
              <w:t> </w:t>
            </w:r>
            <w:r>
              <w:rPr>
                <w:spacing w:val="-4"/>
                <w:sz w:val="21"/>
              </w:rPr>
              <w:t>Marks</w:t>
            </w:r>
          </w:p>
        </w:tc>
      </w:tr>
    </w:tbl>
    <w:p>
      <w:pPr>
        <w:pStyle w:val="BodyText"/>
        <w:spacing w:before="34"/>
        <w:rPr>
          <w:b/>
          <w:sz w:val="40"/>
        </w:rPr>
      </w:pPr>
    </w:p>
    <w:p>
      <w:pPr>
        <w:pStyle w:val="BodyText"/>
        <w:spacing w:line="276" w:lineRule="auto"/>
        <w:ind w:left="360" w:right="275"/>
      </w:pPr>
      <w:r>
        <w:rPr/>
        <w:t>A</w:t>
      </w:r>
      <w:r>
        <w:rPr>
          <w:spacing w:val="-5"/>
        </w:rPr>
        <w:t> </w:t>
      </w:r>
      <w:r>
        <w:rPr/>
        <w:t>report</w:t>
      </w:r>
      <w:r>
        <w:rPr>
          <w:spacing w:val="-5"/>
        </w:rPr>
        <w:t> </w:t>
      </w:r>
      <w:r>
        <w:rPr/>
        <w:t>is</w:t>
      </w:r>
      <w:r>
        <w:rPr>
          <w:spacing w:val="-4"/>
        </w:rPr>
        <w:t> </w:t>
      </w:r>
      <w:r>
        <w:rPr/>
        <w:t>a</w:t>
      </w:r>
      <w:r>
        <w:rPr>
          <w:spacing w:val="-1"/>
        </w:rPr>
        <w:t> </w:t>
      </w:r>
      <w:r>
        <w:rPr/>
        <w:t>comprehensive</w:t>
      </w:r>
      <w:r>
        <w:rPr>
          <w:spacing w:val="-1"/>
        </w:rPr>
        <w:t> </w:t>
      </w:r>
      <w:r>
        <w:rPr/>
        <w:t>document</w:t>
      </w:r>
      <w:r>
        <w:rPr>
          <w:spacing w:val="-5"/>
        </w:rPr>
        <w:t> </w:t>
      </w:r>
      <w:r>
        <w:rPr/>
        <w:t>that</w:t>
      </w:r>
      <w:r>
        <w:rPr>
          <w:spacing w:val="-5"/>
        </w:rPr>
        <w:t> </w:t>
      </w:r>
      <w:r>
        <w:rPr/>
        <w:t>provides</w:t>
      </w:r>
      <w:r>
        <w:rPr>
          <w:spacing w:val="-8"/>
        </w:rPr>
        <w:t> </w:t>
      </w:r>
      <w:r>
        <w:rPr/>
        <w:t>a</w:t>
      </w:r>
      <w:r>
        <w:rPr>
          <w:spacing w:val="-1"/>
        </w:rPr>
        <w:t> </w:t>
      </w:r>
      <w:r>
        <w:rPr/>
        <w:t>detailed</w:t>
      </w:r>
      <w:r>
        <w:rPr>
          <w:spacing w:val="-1"/>
        </w:rPr>
        <w:t> </w:t>
      </w:r>
      <w:r>
        <w:rPr/>
        <w:t>and</w:t>
      </w:r>
      <w:r>
        <w:rPr>
          <w:spacing w:val="-1"/>
        </w:rPr>
        <w:t> </w:t>
      </w:r>
      <w:r>
        <w:rPr/>
        <w:t>structured</w:t>
      </w:r>
      <w:r>
        <w:rPr>
          <w:spacing w:val="-5"/>
        </w:rPr>
        <w:t> </w:t>
      </w:r>
      <w:r>
        <w:rPr/>
        <w:t>account</w:t>
      </w:r>
      <w:r>
        <w:rPr>
          <w:spacing w:val="-5"/>
        </w:rPr>
        <w:t> </w:t>
      </w:r>
      <w:r>
        <w:rPr/>
        <w:t>of</w:t>
      </w:r>
      <w:r>
        <w:rPr>
          <w:spacing w:val="-9"/>
        </w:rPr>
        <w:t> </w:t>
      </w:r>
      <w:r>
        <w:rPr/>
        <w:t>data analysis, findings, and insights. It is typically used for in-depth analysis, documentation, and communication of results. Reports are suitable for a diverse audience, including decision-makers, analysts, and stakeholders who need a comprehensive understanding of the data.</w:t>
      </w:r>
    </w:p>
    <w:p>
      <w:pPr>
        <w:pStyle w:val="BodyText"/>
        <w:spacing w:line="276" w:lineRule="auto" w:before="202"/>
        <w:ind w:left="360" w:right="477"/>
        <w:jc w:val="both"/>
      </w:pPr>
      <w:r>
        <w:rPr/>
        <w:t>Designing</w:t>
      </w:r>
      <w:r>
        <w:rPr>
          <w:spacing w:val="-2"/>
        </w:rPr>
        <w:t> </w:t>
      </w:r>
      <w:r>
        <w:rPr/>
        <w:t>a report</w:t>
      </w:r>
      <w:r>
        <w:rPr>
          <w:spacing w:val="-1"/>
        </w:rPr>
        <w:t> </w:t>
      </w:r>
      <w:r>
        <w:rPr/>
        <w:t>in Power BI</w:t>
      </w:r>
      <w:r>
        <w:rPr>
          <w:spacing w:val="-1"/>
        </w:rPr>
        <w:t> </w:t>
      </w:r>
      <w:r>
        <w:rPr/>
        <w:t>involves connecting</w:t>
      </w:r>
      <w:r>
        <w:rPr>
          <w:spacing w:val="-2"/>
        </w:rPr>
        <w:t> </w:t>
      </w:r>
      <w:r>
        <w:rPr/>
        <w:t>to data sources,</w:t>
      </w:r>
      <w:r>
        <w:rPr>
          <w:spacing w:val="-1"/>
        </w:rPr>
        <w:t> </w:t>
      </w:r>
      <w:r>
        <w:rPr/>
        <w:t>creating</w:t>
      </w:r>
      <w:r>
        <w:rPr>
          <w:spacing w:val="-2"/>
        </w:rPr>
        <w:t> </w:t>
      </w:r>
      <w:r>
        <w:rPr/>
        <w:t>visualizations like charts and graphs, customizing</w:t>
      </w:r>
      <w:r>
        <w:rPr>
          <w:spacing w:val="-1"/>
        </w:rPr>
        <w:t> </w:t>
      </w:r>
      <w:r>
        <w:rPr/>
        <w:t>their</w:t>
      </w:r>
      <w:r>
        <w:rPr>
          <w:spacing w:val="-2"/>
        </w:rPr>
        <w:t> </w:t>
      </w:r>
      <w:r>
        <w:rPr/>
        <w:t>appearance and interactivity, organizing</w:t>
      </w:r>
      <w:r>
        <w:rPr>
          <w:spacing w:val="-1"/>
        </w:rPr>
        <w:t> </w:t>
      </w:r>
      <w:r>
        <w:rPr/>
        <w:t>them logically on the</w:t>
      </w:r>
      <w:r>
        <w:rPr>
          <w:spacing w:val="-1"/>
        </w:rPr>
        <w:t> </w:t>
      </w:r>
      <w:r>
        <w:rPr/>
        <w:t>canvas,</w:t>
      </w:r>
      <w:r>
        <w:rPr>
          <w:spacing w:val="-5"/>
        </w:rPr>
        <w:t> </w:t>
      </w:r>
      <w:r>
        <w:rPr/>
        <w:t>formatting</w:t>
      </w:r>
      <w:r>
        <w:rPr>
          <w:spacing w:val="-6"/>
        </w:rPr>
        <w:t> </w:t>
      </w:r>
      <w:r>
        <w:rPr/>
        <w:t>elements</w:t>
      </w:r>
      <w:r>
        <w:rPr>
          <w:spacing w:val="-4"/>
        </w:rPr>
        <w:t> </w:t>
      </w:r>
      <w:r>
        <w:rPr/>
        <w:t>for</w:t>
      </w:r>
      <w:r>
        <w:rPr>
          <w:spacing w:val="-2"/>
        </w:rPr>
        <w:t> </w:t>
      </w:r>
      <w:r>
        <w:rPr/>
        <w:t>consistency</w:t>
      </w:r>
      <w:r>
        <w:rPr>
          <w:spacing w:val="-4"/>
        </w:rPr>
        <w:t> </w:t>
      </w:r>
      <w:r>
        <w:rPr/>
        <w:t>and</w:t>
      </w:r>
      <w:r>
        <w:rPr>
          <w:spacing w:val="-6"/>
        </w:rPr>
        <w:t> </w:t>
      </w:r>
      <w:r>
        <w:rPr/>
        <w:t>clarity,</w:t>
      </w:r>
      <w:r>
        <w:rPr>
          <w:spacing w:val="-5"/>
        </w:rPr>
        <w:t> </w:t>
      </w:r>
      <w:r>
        <w:rPr/>
        <w:t>and</w:t>
      </w:r>
      <w:r>
        <w:rPr>
          <w:spacing w:val="-1"/>
        </w:rPr>
        <w:t> </w:t>
      </w:r>
      <w:r>
        <w:rPr/>
        <w:t>optionally</w:t>
      </w:r>
      <w:r>
        <w:rPr>
          <w:spacing w:val="-4"/>
        </w:rPr>
        <w:t> </w:t>
      </w:r>
      <w:r>
        <w:rPr/>
        <w:t>creating</w:t>
      </w:r>
      <w:r>
        <w:rPr>
          <w:spacing w:val="-6"/>
        </w:rPr>
        <w:t> </w:t>
      </w:r>
      <w:r>
        <w:rPr/>
        <w:t>dashboards for</w:t>
      </w:r>
      <w:r>
        <w:rPr>
          <w:spacing w:val="-2"/>
        </w:rPr>
        <w:t> </w:t>
      </w:r>
      <w:r>
        <w:rPr/>
        <w:t>a</w:t>
      </w:r>
      <w:r>
        <w:rPr>
          <w:spacing w:val="-1"/>
        </w:rPr>
        <w:t> </w:t>
      </w:r>
      <w:r>
        <w:rPr/>
        <w:t>summarized</w:t>
      </w:r>
      <w:r>
        <w:rPr>
          <w:spacing w:val="-1"/>
        </w:rPr>
        <w:t> </w:t>
      </w:r>
      <w:r>
        <w:rPr/>
        <w:t>view.</w:t>
      </w:r>
      <w:r>
        <w:rPr>
          <w:spacing w:val="-5"/>
        </w:rPr>
        <w:t> </w:t>
      </w:r>
      <w:r>
        <w:rPr/>
        <w:t>Throughout</w:t>
      </w:r>
      <w:r>
        <w:rPr>
          <w:spacing w:val="-5"/>
        </w:rPr>
        <w:t> </w:t>
      </w:r>
      <w:r>
        <w:rPr/>
        <w:t>the</w:t>
      </w:r>
      <w:r>
        <w:rPr>
          <w:spacing w:val="-1"/>
        </w:rPr>
        <w:t> </w:t>
      </w:r>
      <w:r>
        <w:rPr/>
        <w:t>process,</w:t>
      </w:r>
      <w:r>
        <w:rPr>
          <w:spacing w:val="-5"/>
        </w:rPr>
        <w:t> </w:t>
      </w:r>
      <w:r>
        <w:rPr/>
        <w:t>it's</w:t>
      </w:r>
      <w:r>
        <w:rPr>
          <w:spacing w:val="-4"/>
        </w:rPr>
        <w:t> </w:t>
      </w:r>
      <w:r>
        <w:rPr/>
        <w:t>essential</w:t>
      </w:r>
      <w:r>
        <w:rPr>
          <w:spacing w:val="-3"/>
        </w:rPr>
        <w:t> </w:t>
      </w:r>
      <w:r>
        <w:rPr/>
        <w:t>to</w:t>
      </w:r>
      <w:r>
        <w:rPr>
          <w:spacing w:val="-1"/>
        </w:rPr>
        <w:t> </w:t>
      </w:r>
      <w:r>
        <w:rPr/>
        <w:t>consider</w:t>
      </w:r>
      <w:r>
        <w:rPr>
          <w:spacing w:val="-2"/>
        </w:rPr>
        <w:t> </w:t>
      </w:r>
      <w:r>
        <w:rPr/>
        <w:t>the</w:t>
      </w:r>
      <w:r>
        <w:rPr>
          <w:spacing w:val="-6"/>
        </w:rPr>
        <w:t> </w:t>
      </w:r>
      <w:r>
        <w:rPr/>
        <w:t>audience's</w:t>
      </w:r>
      <w:r>
        <w:rPr>
          <w:spacing w:val="-4"/>
        </w:rPr>
        <w:t> </w:t>
      </w:r>
      <w:r>
        <w:rPr/>
        <w:t>needs and</w:t>
      </w:r>
      <w:r>
        <w:rPr>
          <w:spacing w:val="-1"/>
        </w:rPr>
        <w:t> </w:t>
      </w:r>
      <w:r>
        <w:rPr/>
        <w:t>ensure</w:t>
      </w:r>
      <w:r>
        <w:rPr>
          <w:spacing w:val="-1"/>
        </w:rPr>
        <w:t> </w:t>
      </w:r>
      <w:r>
        <w:rPr/>
        <w:t>the</w:t>
      </w:r>
      <w:r>
        <w:rPr>
          <w:spacing w:val="-6"/>
        </w:rPr>
        <w:t> </w:t>
      </w:r>
      <w:r>
        <w:rPr/>
        <w:t>report</w:t>
      </w:r>
      <w:r>
        <w:rPr>
          <w:spacing w:val="-10"/>
        </w:rPr>
        <w:t> </w:t>
      </w:r>
      <w:r>
        <w:rPr/>
        <w:t>effectively</w:t>
      </w:r>
      <w:r>
        <w:rPr>
          <w:spacing w:val="-4"/>
        </w:rPr>
        <w:t> </w:t>
      </w:r>
      <w:r>
        <w:rPr/>
        <w:t>communicates</w:t>
      </w:r>
      <w:r>
        <w:rPr>
          <w:spacing w:val="-4"/>
        </w:rPr>
        <w:t> </w:t>
      </w:r>
      <w:r>
        <w:rPr/>
        <w:t>insights</w:t>
      </w:r>
      <w:r>
        <w:rPr>
          <w:spacing w:val="-4"/>
        </w:rPr>
        <w:t> </w:t>
      </w:r>
      <w:r>
        <w:rPr/>
        <w:t>from</w:t>
      </w:r>
      <w:r>
        <w:rPr>
          <w:spacing w:val="-2"/>
        </w:rPr>
        <w:t> </w:t>
      </w:r>
      <w:r>
        <w:rPr/>
        <w:t>the</w:t>
      </w:r>
      <w:r>
        <w:rPr>
          <w:spacing w:val="-6"/>
        </w:rPr>
        <w:t> </w:t>
      </w:r>
      <w:r>
        <w:rPr/>
        <w:t>data.</w:t>
      </w:r>
      <w:r>
        <w:rPr>
          <w:spacing w:val="-5"/>
        </w:rPr>
        <w:t> </w:t>
      </w:r>
      <w:r>
        <w:rPr/>
        <w:t>Finally,</w:t>
      </w:r>
      <w:r>
        <w:rPr>
          <w:spacing w:val="-5"/>
        </w:rPr>
        <w:t> </w:t>
      </w:r>
      <w:r>
        <w:rPr/>
        <w:t>iterate</w:t>
      </w:r>
      <w:r>
        <w:rPr>
          <w:spacing w:val="-1"/>
        </w:rPr>
        <w:t> </w:t>
      </w:r>
      <w:r>
        <w:rPr/>
        <w:t>based</w:t>
      </w:r>
      <w:r>
        <w:rPr>
          <w:spacing w:val="-1"/>
        </w:rPr>
        <w:t> </w:t>
      </w:r>
      <w:r>
        <w:rPr/>
        <w:t>on feedback to continually improve the report's design and usefulness.</w:t>
      </w:r>
    </w:p>
    <w:p>
      <w:pPr>
        <w:pStyle w:val="BodyText"/>
        <w:spacing w:line="276" w:lineRule="auto" w:before="200"/>
        <w:ind w:left="360" w:right="275"/>
      </w:pPr>
      <w:r>
        <w:rPr/>
        <w:t>Observations</w:t>
      </w:r>
      <w:r>
        <w:rPr>
          <w:spacing w:val="-5"/>
        </w:rPr>
        <w:t> </w:t>
      </w:r>
      <w:r>
        <w:rPr/>
        <w:t>drawn</w:t>
      </w:r>
      <w:r>
        <w:rPr>
          <w:spacing w:val="-2"/>
        </w:rPr>
        <w:t> </w:t>
      </w:r>
      <w:r>
        <w:rPr/>
        <w:t>from</w:t>
      </w:r>
      <w:r>
        <w:rPr>
          <w:spacing w:val="-8"/>
        </w:rPr>
        <w:t> </w:t>
      </w:r>
      <w:r>
        <w:rPr/>
        <w:t>reports</w:t>
      </w:r>
      <w:r>
        <w:rPr>
          <w:spacing w:val="-5"/>
        </w:rPr>
        <w:t> </w:t>
      </w:r>
      <w:r>
        <w:rPr/>
        <w:t>in</w:t>
      </w:r>
      <w:r>
        <w:rPr>
          <w:spacing w:val="-2"/>
        </w:rPr>
        <w:t> </w:t>
      </w:r>
      <w:r>
        <w:rPr/>
        <w:t>Power</w:t>
      </w:r>
      <w:r>
        <w:rPr>
          <w:spacing w:val="-3"/>
        </w:rPr>
        <w:t> </w:t>
      </w:r>
      <w:r>
        <w:rPr/>
        <w:t>BI</w:t>
      </w:r>
      <w:r>
        <w:rPr>
          <w:spacing w:val="-6"/>
        </w:rPr>
        <w:t> </w:t>
      </w:r>
      <w:r>
        <w:rPr/>
        <w:t>can</w:t>
      </w:r>
      <w:r>
        <w:rPr>
          <w:spacing w:val="-2"/>
        </w:rPr>
        <w:t> </w:t>
      </w:r>
      <w:r>
        <w:rPr/>
        <w:t>provide</w:t>
      </w:r>
      <w:r>
        <w:rPr>
          <w:spacing w:val="-2"/>
        </w:rPr>
        <w:t> </w:t>
      </w:r>
      <w:r>
        <w:rPr/>
        <w:t>valuable</w:t>
      </w:r>
      <w:r>
        <w:rPr>
          <w:spacing w:val="-2"/>
        </w:rPr>
        <w:t> </w:t>
      </w:r>
      <w:r>
        <w:rPr/>
        <w:t>insights</w:t>
      </w:r>
      <w:r>
        <w:rPr>
          <w:spacing w:val="-5"/>
        </w:rPr>
        <w:t> </w:t>
      </w:r>
      <w:r>
        <w:rPr/>
        <w:t>into</w:t>
      </w:r>
      <w:r>
        <w:rPr>
          <w:spacing w:val="-2"/>
        </w:rPr>
        <w:t> </w:t>
      </w:r>
      <w:r>
        <w:rPr/>
        <w:t>business performance and trends.</w:t>
      </w:r>
    </w:p>
    <w:p>
      <w:pPr>
        <w:pStyle w:val="BodyText"/>
      </w:pPr>
    </w:p>
    <w:p>
      <w:pPr>
        <w:pStyle w:val="BodyText"/>
        <w:spacing w:before="196"/>
      </w:pPr>
    </w:p>
    <w:p>
      <w:pPr>
        <w:pStyle w:val="Heading2"/>
      </w:pPr>
      <w:r>
        <w:rPr>
          <w:color w:val="003366"/>
        </w:rPr>
        <w:t>Observations</w:t>
      </w:r>
      <w:r>
        <w:rPr>
          <w:color w:val="003366"/>
          <w:spacing w:val="-3"/>
        </w:rPr>
        <w:t> </w:t>
      </w:r>
      <w:r>
        <w:rPr>
          <w:color w:val="003366"/>
        </w:rPr>
        <w:t>&amp;</w:t>
      </w:r>
      <w:r>
        <w:rPr>
          <w:color w:val="003366"/>
          <w:spacing w:val="-4"/>
        </w:rPr>
        <w:t> </w:t>
      </w:r>
      <w:r>
        <w:rPr>
          <w:color w:val="003366"/>
          <w:spacing w:val="-2"/>
        </w:rPr>
        <w:t>Insights</w:t>
      </w:r>
    </w:p>
    <w:p>
      <w:pPr>
        <w:pStyle w:val="Heading3"/>
        <w:numPr>
          <w:ilvl w:val="0"/>
          <w:numId w:val="1"/>
        </w:numPr>
        <w:tabs>
          <w:tab w:pos="603" w:val="left" w:leader="none"/>
        </w:tabs>
        <w:spacing w:line="240" w:lineRule="auto" w:before="245" w:after="0"/>
        <w:ind w:left="603" w:right="0" w:hanging="243"/>
        <w:jc w:val="left"/>
      </w:pPr>
      <w:r>
        <w:rPr/>
        <w:t>Gender</w:t>
      </w:r>
      <w:r>
        <w:rPr>
          <w:spacing w:val="-5"/>
        </w:rPr>
        <w:t> </w:t>
      </w:r>
      <w:r>
        <w:rPr/>
        <w:t>&amp;</w:t>
      </w:r>
      <w:r>
        <w:rPr>
          <w:spacing w:val="-4"/>
        </w:rPr>
        <w:t> </w:t>
      </w:r>
      <w:r>
        <w:rPr/>
        <w:t>Demographic</w:t>
      </w:r>
      <w:r>
        <w:rPr>
          <w:spacing w:val="-2"/>
        </w:rPr>
        <w:t> Distribution</w:t>
      </w:r>
    </w:p>
    <w:p>
      <w:pPr>
        <w:pStyle w:val="ListParagraph"/>
        <w:numPr>
          <w:ilvl w:val="1"/>
          <w:numId w:val="1"/>
        </w:numPr>
        <w:tabs>
          <w:tab w:pos="721" w:val="left" w:leader="none"/>
        </w:tabs>
        <w:spacing w:line="271" w:lineRule="auto" w:before="237" w:after="0"/>
        <w:ind w:left="721" w:right="585" w:hanging="361"/>
        <w:jc w:val="left"/>
        <w:rPr>
          <w:sz w:val="22"/>
        </w:rPr>
      </w:pPr>
      <w:r>
        <w:rPr>
          <w:b/>
          <w:sz w:val="22"/>
        </w:rPr>
        <w:t>Observation: </w:t>
      </w:r>
      <w:r>
        <w:rPr>
          <w:sz w:val="22"/>
        </w:rPr>
        <w:t>The organization possesses a highly mature workforce distribution profile, establishing</w:t>
      </w:r>
      <w:r>
        <w:rPr>
          <w:spacing w:val="-7"/>
          <w:sz w:val="22"/>
        </w:rPr>
        <w:t> </w:t>
      </w:r>
      <w:r>
        <w:rPr>
          <w:sz w:val="22"/>
        </w:rPr>
        <w:t>an </w:t>
      </w:r>
      <w:r>
        <w:rPr>
          <w:b/>
          <w:sz w:val="22"/>
        </w:rPr>
        <w:t>Average</w:t>
      </w:r>
      <w:r>
        <w:rPr>
          <w:b/>
          <w:spacing w:val="-2"/>
          <w:sz w:val="22"/>
        </w:rPr>
        <w:t> </w:t>
      </w:r>
      <w:r>
        <w:rPr>
          <w:b/>
          <w:sz w:val="22"/>
        </w:rPr>
        <w:t>Age</w:t>
      </w:r>
      <w:r>
        <w:rPr>
          <w:b/>
          <w:spacing w:val="-2"/>
          <w:sz w:val="22"/>
        </w:rPr>
        <w:t> </w:t>
      </w:r>
      <w:r>
        <w:rPr>
          <w:b/>
          <w:sz w:val="22"/>
        </w:rPr>
        <w:t>of</w:t>
      </w:r>
      <w:r>
        <w:rPr>
          <w:b/>
          <w:spacing w:val="-7"/>
          <w:sz w:val="22"/>
        </w:rPr>
        <w:t> </w:t>
      </w:r>
      <w:r>
        <w:rPr>
          <w:b/>
          <w:sz w:val="22"/>
        </w:rPr>
        <w:t>37.12</w:t>
      </w:r>
      <w:r>
        <w:rPr>
          <w:b/>
          <w:spacing w:val="-2"/>
          <w:sz w:val="22"/>
        </w:rPr>
        <w:t> </w:t>
      </w:r>
      <w:r>
        <w:rPr>
          <w:b/>
          <w:sz w:val="22"/>
        </w:rPr>
        <w:t>years </w:t>
      </w:r>
      <w:r>
        <w:rPr>
          <w:sz w:val="22"/>
        </w:rPr>
        <w:t>balanced</w:t>
      </w:r>
      <w:r>
        <w:rPr>
          <w:spacing w:val="-2"/>
          <w:sz w:val="22"/>
        </w:rPr>
        <w:t> </w:t>
      </w:r>
      <w:r>
        <w:rPr>
          <w:sz w:val="22"/>
        </w:rPr>
        <w:t>alongside</w:t>
      </w:r>
      <w:r>
        <w:rPr>
          <w:spacing w:val="-7"/>
          <w:sz w:val="22"/>
        </w:rPr>
        <w:t> </w:t>
      </w:r>
      <w:r>
        <w:rPr>
          <w:sz w:val="22"/>
        </w:rPr>
        <w:t>an</w:t>
      </w:r>
      <w:r>
        <w:rPr>
          <w:spacing w:val="-7"/>
          <w:sz w:val="22"/>
        </w:rPr>
        <w:t> </w:t>
      </w:r>
      <w:r>
        <w:rPr>
          <w:sz w:val="22"/>
        </w:rPr>
        <w:t>extensive</w:t>
      </w:r>
      <w:r>
        <w:rPr>
          <w:spacing w:val="-2"/>
          <w:sz w:val="22"/>
        </w:rPr>
        <w:t> </w:t>
      </w:r>
      <w:r>
        <w:rPr>
          <w:sz w:val="22"/>
        </w:rPr>
        <w:t>baseline</w:t>
      </w:r>
      <w:r>
        <w:rPr>
          <w:spacing w:val="-2"/>
          <w:sz w:val="22"/>
        </w:rPr>
        <w:t> </w:t>
      </w:r>
      <w:r>
        <w:rPr>
          <w:sz w:val="22"/>
        </w:rPr>
        <w:t>of</w:t>
      </w:r>
    </w:p>
    <w:p>
      <w:pPr>
        <w:pStyle w:val="Heading3"/>
        <w:spacing w:before="5"/>
        <w:ind w:left="721" w:firstLine="0"/>
        <w:rPr>
          <w:b w:val="0"/>
        </w:rPr>
      </w:pPr>
      <w:r>
        <w:rPr/>
        <w:t>11.70</w:t>
      </w:r>
      <w:r>
        <w:rPr>
          <w:spacing w:val="-3"/>
        </w:rPr>
        <w:t> </w:t>
      </w:r>
      <w:r>
        <w:rPr/>
        <w:t>years</w:t>
      </w:r>
      <w:r>
        <w:rPr>
          <w:spacing w:val="-2"/>
        </w:rPr>
        <w:t> </w:t>
      </w:r>
      <w:r>
        <w:rPr/>
        <w:t>of</w:t>
      </w:r>
      <w:r>
        <w:rPr>
          <w:spacing w:val="-3"/>
        </w:rPr>
        <w:t> </w:t>
      </w:r>
      <w:r>
        <w:rPr/>
        <w:t>Average</w:t>
      </w:r>
      <w:r>
        <w:rPr>
          <w:spacing w:val="-2"/>
        </w:rPr>
        <w:t> </w:t>
      </w:r>
      <w:r>
        <w:rPr/>
        <w:t>Work</w:t>
      </w:r>
      <w:r>
        <w:rPr>
          <w:spacing w:val="-2"/>
        </w:rPr>
        <w:t> Experience</w:t>
      </w:r>
      <w:r>
        <w:rPr>
          <w:b w:val="0"/>
          <w:spacing w:val="-2"/>
        </w:rPr>
        <w:t>.</w:t>
      </w:r>
    </w:p>
    <w:p>
      <w:pPr>
        <w:pStyle w:val="ListParagraph"/>
        <w:numPr>
          <w:ilvl w:val="1"/>
          <w:numId w:val="1"/>
        </w:numPr>
        <w:tabs>
          <w:tab w:pos="721" w:val="left" w:leader="none"/>
        </w:tabs>
        <w:spacing w:line="273" w:lineRule="auto" w:before="42" w:after="0"/>
        <w:ind w:left="721" w:right="614" w:hanging="361"/>
        <w:jc w:val="left"/>
        <w:rPr>
          <w:sz w:val="22"/>
        </w:rPr>
      </w:pPr>
      <w:r>
        <w:rPr>
          <w:b/>
          <w:sz w:val="22"/>
        </w:rPr>
        <w:t>Insight:</w:t>
      </w:r>
      <w:r>
        <w:rPr>
          <w:b/>
          <w:spacing w:val="-3"/>
          <w:sz w:val="22"/>
        </w:rPr>
        <w:t> </w:t>
      </w:r>
      <w:r>
        <w:rPr>
          <w:sz w:val="22"/>
        </w:rPr>
        <w:t>While</w:t>
      </w:r>
      <w:r>
        <w:rPr>
          <w:spacing w:val="-3"/>
          <w:sz w:val="22"/>
        </w:rPr>
        <w:t> </w:t>
      </w:r>
      <w:r>
        <w:rPr>
          <w:sz w:val="22"/>
        </w:rPr>
        <w:t>high-level</w:t>
      </w:r>
      <w:r>
        <w:rPr>
          <w:spacing w:val="-5"/>
          <w:sz w:val="22"/>
        </w:rPr>
        <w:t> </w:t>
      </w:r>
      <w:r>
        <w:rPr>
          <w:sz w:val="22"/>
        </w:rPr>
        <w:t>gender</w:t>
      </w:r>
      <w:r>
        <w:rPr>
          <w:spacing w:val="-4"/>
          <w:sz w:val="22"/>
        </w:rPr>
        <w:t> </w:t>
      </w:r>
      <w:r>
        <w:rPr>
          <w:sz w:val="22"/>
        </w:rPr>
        <w:t>parity</w:t>
      </w:r>
      <w:r>
        <w:rPr>
          <w:spacing w:val="-6"/>
          <w:sz w:val="22"/>
        </w:rPr>
        <w:t> </w:t>
      </w:r>
      <w:r>
        <w:rPr>
          <w:sz w:val="22"/>
        </w:rPr>
        <w:t>and</w:t>
      </w:r>
      <w:r>
        <w:rPr>
          <w:spacing w:val="-3"/>
          <w:sz w:val="22"/>
        </w:rPr>
        <w:t> </w:t>
      </w:r>
      <w:r>
        <w:rPr>
          <w:sz w:val="22"/>
        </w:rPr>
        <w:t>age</w:t>
      </w:r>
      <w:r>
        <w:rPr>
          <w:spacing w:val="-3"/>
          <w:sz w:val="22"/>
        </w:rPr>
        <w:t> </w:t>
      </w:r>
      <w:r>
        <w:rPr>
          <w:sz w:val="22"/>
        </w:rPr>
        <w:t>spreads</w:t>
      </w:r>
      <w:r>
        <w:rPr>
          <w:spacing w:val="-6"/>
          <w:sz w:val="22"/>
        </w:rPr>
        <w:t> </w:t>
      </w:r>
      <w:r>
        <w:rPr>
          <w:sz w:val="22"/>
        </w:rPr>
        <w:t>are</w:t>
      </w:r>
      <w:r>
        <w:rPr>
          <w:spacing w:val="-3"/>
          <w:sz w:val="22"/>
        </w:rPr>
        <w:t> </w:t>
      </w:r>
      <w:r>
        <w:rPr>
          <w:sz w:val="22"/>
        </w:rPr>
        <w:t>fundamentally</w:t>
      </w:r>
      <w:r>
        <w:rPr>
          <w:spacing w:val="-6"/>
          <w:sz w:val="22"/>
        </w:rPr>
        <w:t> </w:t>
      </w:r>
      <w:r>
        <w:rPr>
          <w:sz w:val="22"/>
        </w:rPr>
        <w:t>healthy</w:t>
      </w:r>
      <w:r>
        <w:rPr>
          <w:spacing w:val="-6"/>
          <w:sz w:val="22"/>
        </w:rPr>
        <w:t> </w:t>
      </w:r>
      <w:r>
        <w:rPr>
          <w:sz w:val="22"/>
        </w:rPr>
        <w:t>across aggregate team structures, the localized tenure journey reveals explicit retention cliffs at distinct lifecycle stages. This proves that structural attrition tracks individual corporate milestones rather than standard general workforce demographics.</w:t>
      </w:r>
    </w:p>
    <w:p>
      <w:pPr>
        <w:pStyle w:val="Heading3"/>
        <w:numPr>
          <w:ilvl w:val="0"/>
          <w:numId w:val="1"/>
        </w:numPr>
        <w:tabs>
          <w:tab w:pos="603" w:val="left" w:leader="none"/>
        </w:tabs>
        <w:spacing w:line="240" w:lineRule="auto" w:before="203" w:after="0"/>
        <w:ind w:left="603" w:right="0" w:hanging="243"/>
        <w:jc w:val="left"/>
      </w:pPr>
      <w:r>
        <w:rPr/>
        <w:t>Workplace</w:t>
      </w:r>
      <w:r>
        <w:rPr>
          <w:spacing w:val="-3"/>
        </w:rPr>
        <w:t> </w:t>
      </w:r>
      <w:r>
        <w:rPr/>
        <w:t>Model</w:t>
      </w:r>
      <w:r>
        <w:rPr>
          <w:spacing w:val="-6"/>
        </w:rPr>
        <w:t> </w:t>
      </w:r>
      <w:r>
        <w:rPr/>
        <w:t>&amp;</w:t>
      </w:r>
      <w:r>
        <w:rPr>
          <w:spacing w:val="-4"/>
        </w:rPr>
        <w:t> </w:t>
      </w:r>
      <w:r>
        <w:rPr/>
        <w:t>Environmental</w:t>
      </w:r>
      <w:r>
        <w:rPr>
          <w:spacing w:val="-5"/>
        </w:rPr>
        <w:t> </w:t>
      </w:r>
      <w:r>
        <w:rPr>
          <w:spacing w:val="-2"/>
        </w:rPr>
        <w:t>Pressures</w:t>
      </w:r>
    </w:p>
    <w:p>
      <w:pPr>
        <w:pStyle w:val="ListParagraph"/>
        <w:numPr>
          <w:ilvl w:val="1"/>
          <w:numId w:val="1"/>
        </w:numPr>
        <w:tabs>
          <w:tab w:pos="721" w:val="left" w:leader="none"/>
        </w:tabs>
        <w:spacing w:line="276" w:lineRule="auto" w:before="237" w:after="0"/>
        <w:ind w:left="721" w:right="608" w:hanging="361"/>
        <w:jc w:val="left"/>
        <w:rPr>
          <w:sz w:val="22"/>
        </w:rPr>
      </w:pPr>
      <w:r>
        <w:rPr>
          <w:b/>
          <w:sz w:val="22"/>
        </w:rPr>
        <w:t>Observation: </w:t>
      </w:r>
      <w:r>
        <w:rPr>
          <w:sz w:val="22"/>
        </w:rPr>
        <w:t>Cultural foundation indicators rank exceptionally high, supported by an </w:t>
      </w:r>
      <w:r>
        <w:rPr>
          <w:b/>
          <w:sz w:val="22"/>
        </w:rPr>
        <w:t>Average</w:t>
      </w:r>
      <w:r>
        <w:rPr>
          <w:b/>
          <w:spacing w:val="-3"/>
          <w:sz w:val="22"/>
        </w:rPr>
        <w:t> </w:t>
      </w:r>
      <w:r>
        <w:rPr>
          <w:b/>
          <w:sz w:val="22"/>
        </w:rPr>
        <w:t>Manager</w:t>
      </w:r>
      <w:r>
        <w:rPr>
          <w:b/>
          <w:spacing w:val="-6"/>
          <w:sz w:val="22"/>
        </w:rPr>
        <w:t> </w:t>
      </w:r>
      <w:r>
        <w:rPr>
          <w:b/>
          <w:sz w:val="22"/>
        </w:rPr>
        <w:t>Support</w:t>
      </w:r>
      <w:r>
        <w:rPr>
          <w:b/>
          <w:spacing w:val="-10"/>
          <w:sz w:val="22"/>
        </w:rPr>
        <w:t> </w:t>
      </w:r>
      <w:r>
        <w:rPr>
          <w:b/>
          <w:sz w:val="22"/>
        </w:rPr>
        <w:t>score</w:t>
      </w:r>
      <w:r>
        <w:rPr>
          <w:b/>
          <w:spacing w:val="-3"/>
          <w:sz w:val="22"/>
        </w:rPr>
        <w:t> </w:t>
      </w:r>
      <w:r>
        <w:rPr>
          <w:b/>
          <w:sz w:val="22"/>
        </w:rPr>
        <w:t>of</w:t>
      </w:r>
      <w:r>
        <w:rPr>
          <w:b/>
          <w:spacing w:val="-3"/>
          <w:sz w:val="22"/>
        </w:rPr>
        <w:t> </w:t>
      </w:r>
      <w:r>
        <w:rPr>
          <w:b/>
          <w:sz w:val="22"/>
        </w:rPr>
        <w:t>6.61 </w:t>
      </w:r>
      <w:r>
        <w:rPr>
          <w:sz w:val="22"/>
        </w:rPr>
        <w:t>coupled</w:t>
      </w:r>
      <w:r>
        <w:rPr>
          <w:spacing w:val="-3"/>
          <w:sz w:val="22"/>
        </w:rPr>
        <w:t> </w:t>
      </w:r>
      <w:r>
        <w:rPr>
          <w:sz w:val="22"/>
        </w:rPr>
        <w:t>with</w:t>
      </w:r>
      <w:r>
        <w:rPr>
          <w:spacing w:val="-3"/>
          <w:sz w:val="22"/>
        </w:rPr>
        <w:t> </w:t>
      </w:r>
      <w:r>
        <w:rPr>
          <w:sz w:val="22"/>
        </w:rPr>
        <w:t>a</w:t>
      </w:r>
      <w:r>
        <w:rPr>
          <w:spacing w:val="-3"/>
          <w:sz w:val="22"/>
        </w:rPr>
        <w:t> </w:t>
      </w:r>
      <w:r>
        <w:rPr>
          <w:sz w:val="22"/>
        </w:rPr>
        <w:t>resilient</w:t>
      </w:r>
      <w:r>
        <w:rPr>
          <w:spacing w:val="-3"/>
          <w:sz w:val="22"/>
        </w:rPr>
        <w:t> </w:t>
      </w:r>
      <w:r>
        <w:rPr>
          <w:b/>
          <w:sz w:val="22"/>
        </w:rPr>
        <w:t>Average</w:t>
      </w:r>
      <w:r>
        <w:rPr>
          <w:b/>
          <w:spacing w:val="-3"/>
          <w:sz w:val="22"/>
        </w:rPr>
        <w:t> </w:t>
      </w:r>
      <w:r>
        <w:rPr>
          <w:b/>
          <w:sz w:val="22"/>
        </w:rPr>
        <w:t>Engagement score of 6.51</w:t>
      </w:r>
      <w:r>
        <w:rPr>
          <w:sz w:val="22"/>
        </w:rPr>
        <w:t>.</w:t>
      </w:r>
    </w:p>
    <w:p>
      <w:pPr>
        <w:pStyle w:val="ListParagraph"/>
        <w:spacing w:after="0" w:line="276" w:lineRule="auto"/>
        <w:jc w:val="left"/>
        <w:rPr>
          <w:sz w:val="22"/>
        </w:rPr>
        <w:sectPr>
          <w:type w:val="continuous"/>
          <w:pgSz w:w="12240" w:h="15840"/>
          <w:pgMar w:top="1380" w:bottom="280" w:left="1080" w:right="1080"/>
        </w:sectPr>
      </w:pPr>
    </w:p>
    <w:p>
      <w:pPr>
        <w:pStyle w:val="ListParagraph"/>
        <w:numPr>
          <w:ilvl w:val="1"/>
          <w:numId w:val="1"/>
        </w:numPr>
        <w:tabs>
          <w:tab w:pos="721" w:val="left" w:leader="none"/>
        </w:tabs>
        <w:spacing w:line="276" w:lineRule="auto" w:before="79" w:after="0"/>
        <w:ind w:left="721" w:right="818" w:hanging="361"/>
        <w:jc w:val="left"/>
        <w:rPr>
          <w:sz w:val="22"/>
        </w:rPr>
      </w:pPr>
      <w:r>
        <w:rPr>
          <w:sz w:val="22"/>
        </w:rPr>
        <w:drawing>
          <wp:anchor distT="0" distB="0" distL="0" distR="0" allowOverlap="1" layoutInCell="1" locked="0" behindDoc="0" simplePos="0" relativeHeight="15728640">
            <wp:simplePos x="0" y="0"/>
            <wp:positionH relativeFrom="page">
              <wp:posOffset>1143000</wp:posOffset>
            </wp:positionH>
            <wp:positionV relativeFrom="paragraph">
              <wp:posOffset>1360550</wp:posOffset>
            </wp:positionV>
            <wp:extent cx="5943600" cy="37052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43600" cy="3705225"/>
                    </a:xfrm>
                    <a:prstGeom prst="rect">
                      <a:avLst/>
                    </a:prstGeom>
                  </pic:spPr>
                </pic:pic>
              </a:graphicData>
            </a:graphic>
          </wp:anchor>
        </w:drawing>
      </w:r>
      <w:r>
        <w:rPr>
          <w:b/>
          <w:sz w:val="22"/>
        </w:rPr>
        <w:t>Insight:</w:t>
      </w:r>
      <w:r>
        <w:rPr>
          <w:b/>
          <w:spacing w:val="-5"/>
          <w:sz w:val="22"/>
        </w:rPr>
        <w:t> </w:t>
      </w:r>
      <w:r>
        <w:rPr>
          <w:sz w:val="22"/>
        </w:rPr>
        <w:t>Despite</w:t>
      </w:r>
      <w:r>
        <w:rPr>
          <w:spacing w:val="-5"/>
          <w:sz w:val="22"/>
        </w:rPr>
        <w:t> </w:t>
      </w:r>
      <w:r>
        <w:rPr>
          <w:sz w:val="22"/>
        </w:rPr>
        <w:t>optimized</w:t>
      </w:r>
      <w:r>
        <w:rPr>
          <w:spacing w:val="-5"/>
          <w:sz w:val="22"/>
        </w:rPr>
        <w:t> </w:t>
      </w:r>
      <w:r>
        <w:rPr>
          <w:sz w:val="22"/>
        </w:rPr>
        <w:t>manager</w:t>
      </w:r>
      <w:r>
        <w:rPr>
          <w:spacing w:val="-6"/>
          <w:sz w:val="22"/>
        </w:rPr>
        <w:t> </w:t>
      </w:r>
      <w:r>
        <w:rPr>
          <w:sz w:val="22"/>
        </w:rPr>
        <w:t>sentiment</w:t>
      </w:r>
      <w:r>
        <w:rPr>
          <w:spacing w:val="-9"/>
          <w:sz w:val="22"/>
        </w:rPr>
        <w:t> </w:t>
      </w:r>
      <w:r>
        <w:rPr>
          <w:sz w:val="22"/>
        </w:rPr>
        <w:t>rankings,</w:t>
      </w:r>
      <w:r>
        <w:rPr>
          <w:spacing w:val="-9"/>
          <w:sz w:val="22"/>
        </w:rPr>
        <w:t> </w:t>
      </w:r>
      <w:r>
        <w:rPr>
          <w:sz w:val="22"/>
        </w:rPr>
        <w:t>employee</w:t>
      </w:r>
      <w:r>
        <w:rPr>
          <w:spacing w:val="-5"/>
          <w:sz w:val="22"/>
        </w:rPr>
        <w:t> </w:t>
      </w:r>
      <w:r>
        <w:rPr>
          <w:sz w:val="22"/>
        </w:rPr>
        <w:t>departures</w:t>
      </w:r>
      <w:r>
        <w:rPr>
          <w:spacing w:val="-8"/>
          <w:sz w:val="22"/>
        </w:rPr>
        <w:t> </w:t>
      </w:r>
      <w:r>
        <w:rPr>
          <w:sz w:val="22"/>
        </w:rPr>
        <w:t>correlate tightly with operational formats (</w:t>
      </w:r>
      <w:r>
        <w:rPr>
          <w:b/>
          <w:sz w:val="22"/>
        </w:rPr>
        <w:t>Remote vs. Hybrid vs. Onsite</w:t>
      </w:r>
      <w:r>
        <w:rPr>
          <w:sz w:val="22"/>
        </w:rPr>
        <w:t>). Onsite infrastructure setups exhibit disproportionately higher exit spikes due to accelerated tracking on the </w:t>
      </w:r>
      <w:r>
        <w:rPr>
          <w:b/>
          <w:sz w:val="22"/>
        </w:rPr>
        <w:t>Burnout Risk assessment (Average Burnout Score: 4.03)</w:t>
      </w:r>
      <w:r>
        <w:rPr>
          <w:sz w:val="22"/>
        </w:rPr>
        <w:t>, identifying structural workspace flexibility as a dominant preservation strategy.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Heading3"/>
        <w:numPr>
          <w:ilvl w:val="0"/>
          <w:numId w:val="1"/>
        </w:numPr>
        <w:tabs>
          <w:tab w:pos="603" w:val="left" w:leader="none"/>
        </w:tabs>
        <w:spacing w:line="240" w:lineRule="auto" w:before="0" w:after="0"/>
        <w:ind w:left="603" w:right="0" w:hanging="243"/>
        <w:jc w:val="left"/>
      </w:pPr>
      <w:r>
        <w:rPr/>
        <w:t>Compensation</w:t>
      </w:r>
      <w:r>
        <w:rPr>
          <w:spacing w:val="-4"/>
        </w:rPr>
        <w:t> </w:t>
      </w:r>
      <w:r>
        <w:rPr/>
        <w:t>&amp;</w:t>
      </w:r>
      <w:r>
        <w:rPr>
          <w:spacing w:val="-4"/>
        </w:rPr>
        <w:t> </w:t>
      </w:r>
      <w:r>
        <w:rPr/>
        <w:t>Promotion</w:t>
      </w:r>
      <w:r>
        <w:rPr>
          <w:spacing w:val="-4"/>
        </w:rPr>
        <w:t> </w:t>
      </w:r>
      <w:r>
        <w:rPr>
          <w:spacing w:val="-2"/>
        </w:rPr>
        <w:t>Disparities</w:t>
      </w:r>
    </w:p>
    <w:p>
      <w:pPr>
        <w:pStyle w:val="ListParagraph"/>
        <w:numPr>
          <w:ilvl w:val="1"/>
          <w:numId w:val="1"/>
        </w:numPr>
        <w:tabs>
          <w:tab w:pos="721" w:val="left" w:leader="none"/>
        </w:tabs>
        <w:spacing w:line="276" w:lineRule="auto" w:before="238" w:after="0"/>
        <w:ind w:left="721" w:right="484" w:hanging="361"/>
        <w:jc w:val="left"/>
        <w:rPr>
          <w:sz w:val="22"/>
        </w:rPr>
      </w:pPr>
      <w:r>
        <w:rPr>
          <w:b/>
          <w:sz w:val="22"/>
        </w:rPr>
        <w:t>Observation: </w:t>
      </w:r>
      <w:r>
        <w:rPr>
          <w:sz w:val="22"/>
        </w:rPr>
        <w:t>Financial satisfaction tracking highlights a significant structural failure point clustered</w:t>
      </w:r>
      <w:r>
        <w:rPr>
          <w:spacing w:val="-4"/>
          <w:sz w:val="22"/>
        </w:rPr>
        <w:t> </w:t>
      </w:r>
      <w:r>
        <w:rPr>
          <w:sz w:val="22"/>
        </w:rPr>
        <w:t>within</w:t>
      </w:r>
      <w:r>
        <w:rPr>
          <w:spacing w:val="-4"/>
          <w:sz w:val="22"/>
        </w:rPr>
        <w:t> </w:t>
      </w:r>
      <w:r>
        <w:rPr>
          <w:sz w:val="22"/>
        </w:rPr>
        <w:t>localized</w:t>
      </w:r>
      <w:r>
        <w:rPr>
          <w:spacing w:val="-4"/>
          <w:sz w:val="22"/>
        </w:rPr>
        <w:t> </w:t>
      </w:r>
      <w:r>
        <w:rPr>
          <w:sz w:val="22"/>
        </w:rPr>
        <w:t>compensation</w:t>
      </w:r>
      <w:r>
        <w:rPr>
          <w:spacing w:val="-4"/>
          <w:sz w:val="22"/>
        </w:rPr>
        <w:t> </w:t>
      </w:r>
      <w:r>
        <w:rPr>
          <w:sz w:val="22"/>
        </w:rPr>
        <w:t>bounds,</w:t>
      </w:r>
      <w:r>
        <w:rPr>
          <w:spacing w:val="-8"/>
          <w:sz w:val="22"/>
        </w:rPr>
        <w:t> </w:t>
      </w:r>
      <w:r>
        <w:rPr>
          <w:sz w:val="22"/>
        </w:rPr>
        <w:t>directly</w:t>
      </w:r>
      <w:r>
        <w:rPr>
          <w:spacing w:val="-7"/>
          <w:sz w:val="22"/>
        </w:rPr>
        <w:t> </w:t>
      </w:r>
      <w:r>
        <w:rPr>
          <w:sz w:val="22"/>
        </w:rPr>
        <w:t>isolating</w:t>
      </w:r>
      <w:r>
        <w:rPr>
          <w:spacing w:val="-9"/>
          <w:sz w:val="22"/>
        </w:rPr>
        <w:t> </w:t>
      </w:r>
      <w:r>
        <w:rPr>
          <w:sz w:val="22"/>
        </w:rPr>
        <w:t>extreme</w:t>
      </w:r>
      <w:r>
        <w:rPr>
          <w:spacing w:val="-4"/>
          <w:sz w:val="22"/>
        </w:rPr>
        <w:t> </w:t>
      </w:r>
      <w:r>
        <w:rPr>
          <w:sz w:val="22"/>
        </w:rPr>
        <w:t>attrition</w:t>
      </w:r>
      <w:r>
        <w:rPr>
          <w:spacing w:val="-4"/>
          <w:sz w:val="22"/>
        </w:rPr>
        <w:t> </w:t>
      </w:r>
      <w:r>
        <w:rPr>
          <w:sz w:val="22"/>
        </w:rPr>
        <w:t>behavior among personnel constrained to </w:t>
      </w:r>
      <w:r>
        <w:rPr>
          <w:b/>
          <w:sz w:val="22"/>
        </w:rPr>
        <w:t>0–5% and 6–10% salary growth bands</w:t>
      </w:r>
      <w:r>
        <w:rPr>
          <w:sz w:val="22"/>
        </w:rPr>
        <w:t>.</w:t>
      </w:r>
    </w:p>
    <w:p>
      <w:pPr>
        <w:pStyle w:val="ListParagraph"/>
        <w:numPr>
          <w:ilvl w:val="1"/>
          <w:numId w:val="1"/>
        </w:numPr>
        <w:tabs>
          <w:tab w:pos="721" w:val="left" w:leader="none"/>
        </w:tabs>
        <w:spacing w:line="276" w:lineRule="auto" w:before="0" w:after="0"/>
        <w:ind w:left="721" w:right="523" w:hanging="361"/>
        <w:jc w:val="left"/>
        <w:rPr>
          <w:sz w:val="22"/>
        </w:rPr>
      </w:pPr>
      <w:r>
        <w:rPr>
          <w:b/>
          <w:sz w:val="22"/>
        </w:rPr>
        <w:t>Insight: </w:t>
      </w:r>
      <w:r>
        <w:rPr>
          <w:sz w:val="22"/>
        </w:rPr>
        <w:t>Turnover levels fall precipitously once targeted salary adjustment rates scale beyond the </w:t>
      </w:r>
      <w:r>
        <w:rPr>
          <w:b/>
          <w:sz w:val="22"/>
        </w:rPr>
        <w:t>11%</w:t>
      </w:r>
      <w:r>
        <w:rPr>
          <w:b/>
          <w:spacing w:val="-4"/>
          <w:sz w:val="22"/>
        </w:rPr>
        <w:t> </w:t>
      </w:r>
      <w:r>
        <w:rPr>
          <w:b/>
          <w:sz w:val="22"/>
        </w:rPr>
        <w:t>threshold</w:t>
      </w:r>
      <w:r>
        <w:rPr>
          <w:sz w:val="22"/>
        </w:rPr>
        <w:t>, highlighting</w:t>
      </w:r>
      <w:r>
        <w:rPr>
          <w:spacing w:val="-1"/>
          <w:sz w:val="22"/>
        </w:rPr>
        <w:t> </w:t>
      </w:r>
      <w:r>
        <w:rPr>
          <w:sz w:val="22"/>
        </w:rPr>
        <w:t>that minor inflation adjustments fail to</w:t>
      </w:r>
      <w:r>
        <w:rPr>
          <w:spacing w:val="-1"/>
          <w:sz w:val="22"/>
        </w:rPr>
        <w:t> </w:t>
      </w:r>
      <w:r>
        <w:rPr>
          <w:sz w:val="22"/>
        </w:rPr>
        <w:t>anchor elite workforce talent. This economic attrition trend coordinates directly with the tenure cliff markers,</w:t>
      </w:r>
      <w:r>
        <w:rPr>
          <w:spacing w:val="-5"/>
          <w:sz w:val="22"/>
        </w:rPr>
        <w:t> </w:t>
      </w:r>
      <w:r>
        <w:rPr>
          <w:sz w:val="22"/>
        </w:rPr>
        <w:t>showing</w:t>
      </w:r>
      <w:r>
        <w:rPr>
          <w:spacing w:val="-6"/>
          <w:sz w:val="22"/>
        </w:rPr>
        <w:t> </w:t>
      </w:r>
      <w:r>
        <w:rPr>
          <w:sz w:val="22"/>
        </w:rPr>
        <w:t>that</w:t>
      </w:r>
      <w:r>
        <w:rPr>
          <w:spacing w:val="-5"/>
          <w:sz w:val="22"/>
        </w:rPr>
        <w:t> </w:t>
      </w:r>
      <w:r>
        <w:rPr>
          <w:sz w:val="22"/>
        </w:rPr>
        <w:t>static</w:t>
      </w:r>
      <w:r>
        <w:rPr>
          <w:spacing w:val="-5"/>
          <w:sz w:val="22"/>
        </w:rPr>
        <w:t> </w:t>
      </w:r>
      <w:r>
        <w:rPr>
          <w:sz w:val="22"/>
        </w:rPr>
        <w:t>wage</w:t>
      </w:r>
      <w:r>
        <w:rPr>
          <w:spacing w:val="-2"/>
          <w:sz w:val="22"/>
        </w:rPr>
        <w:t> </w:t>
      </w:r>
      <w:r>
        <w:rPr>
          <w:sz w:val="22"/>
        </w:rPr>
        <w:t>stagnation</w:t>
      </w:r>
      <w:r>
        <w:rPr>
          <w:spacing w:val="-2"/>
          <w:sz w:val="22"/>
        </w:rPr>
        <w:t> </w:t>
      </w:r>
      <w:r>
        <w:rPr>
          <w:sz w:val="22"/>
        </w:rPr>
        <w:t>acts</w:t>
      </w:r>
      <w:r>
        <w:rPr>
          <w:spacing w:val="-5"/>
          <w:sz w:val="22"/>
        </w:rPr>
        <w:t> </w:t>
      </w:r>
      <w:r>
        <w:rPr>
          <w:sz w:val="22"/>
        </w:rPr>
        <w:t>as</w:t>
      </w:r>
      <w:r>
        <w:rPr>
          <w:spacing w:val="-5"/>
          <w:sz w:val="22"/>
        </w:rPr>
        <w:t> </w:t>
      </w:r>
      <w:r>
        <w:rPr>
          <w:sz w:val="22"/>
        </w:rPr>
        <w:t>a</w:t>
      </w:r>
      <w:r>
        <w:rPr>
          <w:spacing w:val="-2"/>
          <w:sz w:val="22"/>
        </w:rPr>
        <w:t> </w:t>
      </w:r>
      <w:r>
        <w:rPr>
          <w:sz w:val="22"/>
        </w:rPr>
        <w:t>primary</w:t>
      </w:r>
      <w:r>
        <w:rPr>
          <w:spacing w:val="-5"/>
          <w:sz w:val="22"/>
        </w:rPr>
        <w:t> </w:t>
      </w:r>
      <w:r>
        <w:rPr>
          <w:sz w:val="22"/>
        </w:rPr>
        <w:t>trigger</w:t>
      </w:r>
      <w:r>
        <w:rPr>
          <w:spacing w:val="-3"/>
          <w:sz w:val="22"/>
        </w:rPr>
        <w:t> </w:t>
      </w:r>
      <w:r>
        <w:rPr>
          <w:sz w:val="22"/>
        </w:rPr>
        <w:t>driving</w:t>
      </w:r>
      <w:r>
        <w:rPr>
          <w:spacing w:val="-6"/>
          <w:sz w:val="22"/>
        </w:rPr>
        <w:t> </w:t>
      </w:r>
      <w:r>
        <w:rPr>
          <w:sz w:val="22"/>
        </w:rPr>
        <w:t>active</w:t>
      </w:r>
      <w:r>
        <w:rPr>
          <w:spacing w:val="-2"/>
          <w:sz w:val="22"/>
        </w:rPr>
        <w:t> </w:t>
      </w:r>
      <w:r>
        <w:rPr>
          <w:sz w:val="22"/>
        </w:rPr>
        <w:t>career </w:t>
      </w:r>
      <w:r>
        <w:rPr>
          <w:spacing w:val="-2"/>
          <w:sz w:val="22"/>
        </w:rPr>
        <w:t>transitions.</w:t>
      </w:r>
    </w:p>
    <w:p>
      <w:pPr>
        <w:pStyle w:val="Heading3"/>
        <w:numPr>
          <w:ilvl w:val="0"/>
          <w:numId w:val="1"/>
        </w:numPr>
        <w:tabs>
          <w:tab w:pos="603" w:val="left" w:leader="none"/>
        </w:tabs>
        <w:spacing w:line="240" w:lineRule="auto" w:before="195" w:after="0"/>
        <w:ind w:left="603" w:right="0" w:hanging="243"/>
        <w:jc w:val="left"/>
      </w:pPr>
      <w:r>
        <w:rPr/>
        <w:t>Performance</w:t>
      </w:r>
      <w:r>
        <w:rPr>
          <w:spacing w:val="-3"/>
        </w:rPr>
        <w:t> </w:t>
      </w:r>
      <w:r>
        <w:rPr/>
        <w:t>&amp;</w:t>
      </w:r>
      <w:r>
        <w:rPr>
          <w:spacing w:val="-5"/>
        </w:rPr>
        <w:t> </w:t>
      </w:r>
      <w:r>
        <w:rPr/>
        <w:t>Overtime</w:t>
      </w:r>
      <w:r>
        <w:rPr>
          <w:spacing w:val="-3"/>
        </w:rPr>
        <w:t> </w:t>
      </w:r>
      <w:r>
        <w:rPr>
          <w:spacing w:val="-2"/>
        </w:rPr>
        <w:t>Calibration</w:t>
      </w:r>
    </w:p>
    <w:p>
      <w:pPr>
        <w:pStyle w:val="ListParagraph"/>
        <w:numPr>
          <w:ilvl w:val="1"/>
          <w:numId w:val="1"/>
        </w:numPr>
        <w:tabs>
          <w:tab w:pos="721" w:val="left" w:leader="none"/>
        </w:tabs>
        <w:spacing w:line="273" w:lineRule="auto" w:before="237" w:after="0"/>
        <w:ind w:left="721" w:right="406" w:hanging="361"/>
        <w:jc w:val="left"/>
        <w:rPr>
          <w:sz w:val="22"/>
        </w:rPr>
      </w:pPr>
      <w:r>
        <w:rPr>
          <w:b/>
          <w:sz w:val="22"/>
        </w:rPr>
        <w:t>Observation: </w:t>
      </w:r>
      <w:r>
        <w:rPr>
          <w:sz w:val="22"/>
        </w:rPr>
        <w:t>Core operational baseline output maintains distinctively productive levels across</w:t>
      </w:r>
      <w:r>
        <w:rPr>
          <w:spacing w:val="-5"/>
          <w:sz w:val="22"/>
        </w:rPr>
        <w:t> </w:t>
      </w:r>
      <w:r>
        <w:rPr>
          <w:sz w:val="22"/>
        </w:rPr>
        <w:t>key</w:t>
      </w:r>
      <w:r>
        <w:rPr>
          <w:spacing w:val="-5"/>
          <w:sz w:val="22"/>
        </w:rPr>
        <w:t> </w:t>
      </w:r>
      <w:r>
        <w:rPr>
          <w:sz w:val="22"/>
        </w:rPr>
        <w:t>departments,</w:t>
      </w:r>
      <w:r>
        <w:rPr>
          <w:spacing w:val="-6"/>
          <w:sz w:val="22"/>
        </w:rPr>
        <w:t> </w:t>
      </w:r>
      <w:r>
        <w:rPr>
          <w:sz w:val="22"/>
        </w:rPr>
        <w:t>managing</w:t>
      </w:r>
      <w:r>
        <w:rPr>
          <w:spacing w:val="-6"/>
          <w:sz w:val="22"/>
        </w:rPr>
        <w:t> </w:t>
      </w:r>
      <w:r>
        <w:rPr>
          <w:sz w:val="22"/>
        </w:rPr>
        <w:t>a</w:t>
      </w:r>
      <w:r>
        <w:rPr>
          <w:spacing w:val="-2"/>
          <w:sz w:val="22"/>
        </w:rPr>
        <w:t> </w:t>
      </w:r>
      <w:r>
        <w:rPr>
          <w:sz w:val="22"/>
        </w:rPr>
        <w:t>stable </w:t>
      </w:r>
      <w:r>
        <w:rPr>
          <w:b/>
          <w:sz w:val="22"/>
        </w:rPr>
        <w:t>Average</w:t>
      </w:r>
      <w:r>
        <w:rPr>
          <w:b/>
          <w:spacing w:val="-2"/>
          <w:sz w:val="22"/>
        </w:rPr>
        <w:t> </w:t>
      </w:r>
      <w:r>
        <w:rPr>
          <w:b/>
          <w:sz w:val="22"/>
        </w:rPr>
        <w:t>Performance</w:t>
      </w:r>
      <w:r>
        <w:rPr>
          <w:b/>
          <w:spacing w:val="-2"/>
          <w:sz w:val="22"/>
        </w:rPr>
        <w:t> </w:t>
      </w:r>
      <w:r>
        <w:rPr>
          <w:b/>
          <w:sz w:val="22"/>
        </w:rPr>
        <w:t>Rating</w:t>
      </w:r>
      <w:r>
        <w:rPr>
          <w:b/>
          <w:spacing w:val="-4"/>
          <w:sz w:val="22"/>
        </w:rPr>
        <w:t> </w:t>
      </w:r>
      <w:r>
        <w:rPr>
          <w:b/>
          <w:sz w:val="22"/>
        </w:rPr>
        <w:t>of</w:t>
      </w:r>
      <w:r>
        <w:rPr>
          <w:b/>
          <w:spacing w:val="-6"/>
          <w:sz w:val="22"/>
        </w:rPr>
        <w:t> </w:t>
      </w:r>
      <w:r>
        <w:rPr>
          <w:b/>
          <w:sz w:val="22"/>
        </w:rPr>
        <w:t>3.62</w:t>
      </w:r>
      <w:r>
        <w:rPr>
          <w:b/>
          <w:spacing w:val="-2"/>
          <w:sz w:val="22"/>
        </w:rPr>
        <w:t> </w:t>
      </w:r>
      <w:r>
        <w:rPr>
          <w:b/>
          <w:sz w:val="22"/>
        </w:rPr>
        <w:t>out</w:t>
      </w:r>
      <w:r>
        <w:rPr>
          <w:b/>
          <w:spacing w:val="-3"/>
          <w:sz w:val="22"/>
        </w:rPr>
        <w:t> </w:t>
      </w:r>
      <w:r>
        <w:rPr>
          <w:b/>
          <w:sz w:val="22"/>
        </w:rPr>
        <w:t>of</w:t>
      </w:r>
      <w:r>
        <w:rPr>
          <w:b/>
          <w:spacing w:val="-6"/>
          <w:sz w:val="22"/>
        </w:rPr>
        <w:t> </w:t>
      </w:r>
      <w:r>
        <w:rPr>
          <w:b/>
          <w:sz w:val="22"/>
        </w:rPr>
        <w:t>5 </w:t>
      </w:r>
      <w:r>
        <w:rPr>
          <w:sz w:val="22"/>
        </w:rPr>
        <w:t>while demanding a consistent </w:t>
      </w:r>
      <w:r>
        <w:rPr>
          <w:b/>
          <w:sz w:val="22"/>
        </w:rPr>
        <w:t>Average of 6.83 Weekly Overtime Hours</w:t>
      </w:r>
      <w:r>
        <w:rPr>
          <w:sz w:val="22"/>
        </w:rPr>
        <w:t>.</w:t>
      </w:r>
    </w:p>
    <w:p>
      <w:pPr>
        <w:pStyle w:val="ListParagraph"/>
        <w:spacing w:after="0" w:line="273" w:lineRule="auto"/>
        <w:jc w:val="left"/>
        <w:rPr>
          <w:sz w:val="22"/>
        </w:rPr>
        <w:sectPr>
          <w:pgSz w:w="12240" w:h="15840"/>
          <w:pgMar w:top="1360" w:bottom="280" w:left="1080" w:right="1080"/>
        </w:sectPr>
      </w:pPr>
    </w:p>
    <w:p>
      <w:pPr>
        <w:pStyle w:val="ListParagraph"/>
        <w:numPr>
          <w:ilvl w:val="1"/>
          <w:numId w:val="1"/>
        </w:numPr>
        <w:tabs>
          <w:tab w:pos="721" w:val="left" w:leader="none"/>
        </w:tabs>
        <w:spacing w:line="276" w:lineRule="auto" w:before="79" w:after="0"/>
        <w:ind w:left="721" w:right="546" w:hanging="361"/>
        <w:jc w:val="left"/>
        <w:rPr>
          <w:sz w:val="22"/>
        </w:rPr>
      </w:pPr>
      <w:r>
        <w:rPr>
          <w:sz w:val="22"/>
        </w:rPr>
        <w:drawing>
          <wp:anchor distT="0" distB="0" distL="0" distR="0" allowOverlap="1" layoutInCell="1" locked="0" behindDoc="0" simplePos="0" relativeHeight="15729152">
            <wp:simplePos x="0" y="0"/>
            <wp:positionH relativeFrom="page">
              <wp:posOffset>1143000</wp:posOffset>
            </wp:positionH>
            <wp:positionV relativeFrom="paragraph">
              <wp:posOffset>1172210</wp:posOffset>
            </wp:positionV>
            <wp:extent cx="5943600" cy="333375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43600" cy="3333750"/>
                    </a:xfrm>
                    <a:prstGeom prst="rect">
                      <a:avLst/>
                    </a:prstGeom>
                  </pic:spPr>
                </pic:pic>
              </a:graphicData>
            </a:graphic>
          </wp:anchor>
        </w:drawing>
      </w:r>
      <w:r>
        <w:rPr>
          <w:b/>
          <w:sz w:val="22"/>
        </w:rPr>
        <w:t>Insight: </w:t>
      </w:r>
      <w:r>
        <w:rPr>
          <w:sz w:val="22"/>
        </w:rPr>
        <w:t>The underlying data isolates a profound corporate risk: highly rated, premium performance (Appraisal tiers 4 and 5) is systematically subsidized by excessive workload burdens. This dynamic heavily drives organizational strain up to a </w:t>
      </w:r>
      <w:r>
        <w:rPr>
          <w:b/>
          <w:sz w:val="22"/>
        </w:rPr>
        <w:t>4.03 Burnout rating</w:t>
      </w:r>
      <w:r>
        <w:rPr>
          <w:sz w:val="22"/>
        </w:rPr>
        <w:t>, forcing</w:t>
      </w:r>
      <w:r>
        <w:rPr>
          <w:spacing w:val="-6"/>
          <w:sz w:val="22"/>
        </w:rPr>
        <w:t> </w:t>
      </w:r>
      <w:r>
        <w:rPr>
          <w:sz w:val="22"/>
        </w:rPr>
        <w:t>a</w:t>
      </w:r>
      <w:r>
        <w:rPr>
          <w:spacing w:val="-1"/>
          <w:sz w:val="22"/>
        </w:rPr>
        <w:t> </w:t>
      </w:r>
      <w:r>
        <w:rPr>
          <w:sz w:val="22"/>
        </w:rPr>
        <w:t>specialized</w:t>
      </w:r>
      <w:r>
        <w:rPr>
          <w:spacing w:val="-1"/>
          <w:sz w:val="22"/>
        </w:rPr>
        <w:t> </w:t>
      </w:r>
      <w:r>
        <w:rPr>
          <w:sz w:val="22"/>
        </w:rPr>
        <w:t>'success</w:t>
      </w:r>
      <w:r>
        <w:rPr>
          <w:spacing w:val="-4"/>
          <w:sz w:val="22"/>
        </w:rPr>
        <w:t> </w:t>
      </w:r>
      <w:r>
        <w:rPr>
          <w:sz w:val="22"/>
        </w:rPr>
        <w:t>tax'</w:t>
      </w:r>
      <w:r>
        <w:rPr>
          <w:spacing w:val="-6"/>
          <w:sz w:val="22"/>
        </w:rPr>
        <w:t> </w:t>
      </w:r>
      <w:r>
        <w:rPr>
          <w:sz w:val="22"/>
        </w:rPr>
        <w:t>trend</w:t>
      </w:r>
      <w:r>
        <w:rPr>
          <w:spacing w:val="-1"/>
          <w:sz w:val="22"/>
        </w:rPr>
        <w:t> </w:t>
      </w:r>
      <w:r>
        <w:rPr>
          <w:sz w:val="22"/>
        </w:rPr>
        <w:t>where</w:t>
      </w:r>
      <w:r>
        <w:rPr>
          <w:spacing w:val="-1"/>
          <w:sz w:val="22"/>
        </w:rPr>
        <w:t> </w:t>
      </w:r>
      <w:r>
        <w:rPr>
          <w:sz w:val="22"/>
        </w:rPr>
        <w:t>your</w:t>
      </w:r>
      <w:r>
        <w:rPr>
          <w:spacing w:val="-7"/>
          <w:sz w:val="22"/>
        </w:rPr>
        <w:t> </w:t>
      </w:r>
      <w:r>
        <w:rPr>
          <w:sz w:val="22"/>
        </w:rPr>
        <w:t>most</w:t>
      </w:r>
      <w:r>
        <w:rPr>
          <w:spacing w:val="-5"/>
          <w:sz w:val="22"/>
        </w:rPr>
        <w:t> </w:t>
      </w:r>
      <w:r>
        <w:rPr>
          <w:sz w:val="22"/>
        </w:rPr>
        <w:t>impactful</w:t>
      </w:r>
      <w:r>
        <w:rPr>
          <w:spacing w:val="-3"/>
          <w:sz w:val="22"/>
        </w:rPr>
        <w:t> </w:t>
      </w:r>
      <w:r>
        <w:rPr>
          <w:sz w:val="22"/>
        </w:rPr>
        <w:t>talent</w:t>
      </w:r>
      <w:r>
        <w:rPr>
          <w:spacing w:val="-5"/>
          <w:sz w:val="22"/>
        </w:rPr>
        <w:t> </w:t>
      </w:r>
      <w:r>
        <w:rPr>
          <w:sz w:val="22"/>
        </w:rPr>
        <w:t>exits</w:t>
      </w:r>
      <w:r>
        <w:rPr>
          <w:spacing w:val="-4"/>
          <w:sz w:val="22"/>
        </w:rPr>
        <w:t> </w:t>
      </w:r>
      <w:r>
        <w:rPr>
          <w:sz w:val="22"/>
        </w:rPr>
        <w:t>prematurely due to persistent workplace exhaustion.</w:t>
      </w:r>
    </w:p>
    <w:sectPr>
      <w:pgSz w:w="12240" w:h="15840"/>
      <w:pgMar w:top="13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05" w:hanging="245"/>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721"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1760" w:hanging="361"/>
      </w:pPr>
      <w:rPr>
        <w:rFonts w:hint="default"/>
        <w:lang w:val="en-US" w:eastAsia="en-US" w:bidi="ar-SA"/>
      </w:rPr>
    </w:lvl>
    <w:lvl w:ilvl="3">
      <w:start w:val="0"/>
      <w:numFmt w:val="bullet"/>
      <w:lvlText w:val="•"/>
      <w:lvlJc w:val="left"/>
      <w:pPr>
        <w:ind w:left="2800" w:hanging="361"/>
      </w:pPr>
      <w:rPr>
        <w:rFonts w:hint="default"/>
        <w:lang w:val="en-US" w:eastAsia="en-US" w:bidi="ar-SA"/>
      </w:rPr>
    </w:lvl>
    <w:lvl w:ilvl="4">
      <w:start w:val="0"/>
      <w:numFmt w:val="bullet"/>
      <w:lvlText w:val="•"/>
      <w:lvlJc w:val="left"/>
      <w:pPr>
        <w:ind w:left="3840" w:hanging="361"/>
      </w:pPr>
      <w:rPr>
        <w:rFonts w:hint="default"/>
        <w:lang w:val="en-US" w:eastAsia="en-US" w:bidi="ar-SA"/>
      </w:rPr>
    </w:lvl>
    <w:lvl w:ilvl="5">
      <w:start w:val="0"/>
      <w:numFmt w:val="bullet"/>
      <w:lvlText w:val="•"/>
      <w:lvlJc w:val="left"/>
      <w:pPr>
        <w:ind w:left="4880" w:hanging="361"/>
      </w:pPr>
      <w:rPr>
        <w:rFonts w:hint="default"/>
        <w:lang w:val="en-US" w:eastAsia="en-US" w:bidi="ar-SA"/>
      </w:rPr>
    </w:lvl>
    <w:lvl w:ilvl="6">
      <w:start w:val="0"/>
      <w:numFmt w:val="bullet"/>
      <w:lvlText w:val="•"/>
      <w:lvlJc w:val="left"/>
      <w:pPr>
        <w:ind w:left="5920" w:hanging="361"/>
      </w:pPr>
      <w:rPr>
        <w:rFonts w:hint="default"/>
        <w:lang w:val="en-US" w:eastAsia="en-US" w:bidi="ar-SA"/>
      </w:rPr>
    </w:lvl>
    <w:lvl w:ilvl="7">
      <w:start w:val="0"/>
      <w:numFmt w:val="bullet"/>
      <w:lvlText w:val="•"/>
      <w:lvlJc w:val="left"/>
      <w:pPr>
        <w:ind w:left="6960" w:hanging="361"/>
      </w:pPr>
      <w:rPr>
        <w:rFonts w:hint="default"/>
        <w:lang w:val="en-US" w:eastAsia="en-US" w:bidi="ar-SA"/>
      </w:rPr>
    </w:lvl>
    <w:lvl w:ilvl="8">
      <w:start w:val="0"/>
      <w:numFmt w:val="bullet"/>
      <w:lvlText w:val="•"/>
      <w:lvlJc w:val="left"/>
      <w:pPr>
        <w:ind w:left="8000"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60"/>
      <w:ind w:left="8"/>
      <w:jc w:val="center"/>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360"/>
      <w:jc w:val="both"/>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603" w:hanging="243"/>
      <w:outlineLvl w:val="3"/>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237"/>
      <w:ind w:left="721" w:hanging="361"/>
    </w:pPr>
    <w:rPr>
      <w:rFonts w:ascii="Arial" w:hAnsi="Arial" w:eastAsia="Arial" w:cs="Arial"/>
      <w:lang w:val="en-US" w:eastAsia="en-US" w:bidi="ar-SA"/>
    </w:rPr>
  </w:style>
  <w:style w:styleId="TableParagraph" w:type="paragraph">
    <w:name w:val="Table Paragraph"/>
    <w:basedOn w:val="Normal"/>
    <w:uiPriority w:val="1"/>
    <w:qFormat/>
    <w:pPr>
      <w:spacing w:before="3"/>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2026-09-21T03:24:40Z</dcterms:created>
  <dcterms:modified xsi:type="dcterms:W3CDTF">2026-09-21T03:24:40Z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2026-09-20T00:00:00Z</vt:filetime>
  </property>
  <property fmtid="{D5CDD505-2E9C-101B-9397-08002B2CF9AE}" pid="3" name="Creator">
    <vt:lpwstr>Microsoft Word</vt:lpwstr>
  </property>
  <property fmtid="{D5CDD505-2E9C-101B-9397-08002B2CF9AE}" pid="4" name="LastSaved">
    <vt:filetime>2026-09-21T00:00:00Z</vt:filetime>
  </property>
</Properties>
</file>